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2"/>
          <w:szCs w:val="32"/>
        </w:rPr>
      </w:pPr>
    </w:p>
    <w:p>
      <w:pPr>
        <w:jc w:val="center"/>
        <w:rPr>
          <w:b/>
          <w:bCs/>
          <w:sz w:val="32"/>
          <w:szCs w:val="32"/>
        </w:rPr>
      </w:pPr>
    </w:p>
    <w:p>
      <w:pPr>
        <w:spacing w:line="800" w:lineRule="exact"/>
        <w:jc w:val="center"/>
        <w:rPr>
          <w:rFonts w:ascii="黑体" w:hAnsi="黑体" w:eastAsia="黑体"/>
          <w:sz w:val="48"/>
          <w:szCs w:val="48"/>
        </w:rPr>
      </w:pPr>
    </w:p>
    <w:p>
      <w:pPr>
        <w:spacing w:line="800" w:lineRule="exact"/>
        <w:jc w:val="center"/>
        <w:rPr>
          <w:rFonts w:ascii="黑体" w:hAnsi="黑体" w:eastAsia="黑体"/>
          <w:sz w:val="48"/>
          <w:szCs w:val="48"/>
        </w:rPr>
      </w:pPr>
      <w:r>
        <w:rPr>
          <w:rFonts w:hint="eastAsia" w:ascii="黑体" w:hAnsi="黑体" w:eastAsia="黑体"/>
          <w:sz w:val="48"/>
          <w:szCs w:val="48"/>
        </w:rPr>
        <w:t>《“领跑者”标准评价要求低环境温度空气源热泵（冷水）机组》</w:t>
      </w:r>
    </w:p>
    <w:p>
      <w:pPr>
        <w:spacing w:line="800" w:lineRule="exact"/>
        <w:jc w:val="center"/>
        <w:rPr>
          <w:rFonts w:ascii="黑体" w:hAnsi="黑体" w:eastAsia="黑体"/>
          <w:sz w:val="48"/>
          <w:szCs w:val="48"/>
        </w:rPr>
      </w:pPr>
      <w:r>
        <w:rPr>
          <w:rFonts w:hint="eastAsia" w:ascii="黑体" w:hAnsi="黑体" w:eastAsia="黑体"/>
          <w:sz w:val="48"/>
          <w:szCs w:val="48"/>
        </w:rPr>
        <w:t>团体标准编制说明</w:t>
      </w:r>
    </w:p>
    <w:p>
      <w:pPr>
        <w:spacing w:line="800" w:lineRule="exact"/>
        <w:jc w:val="center"/>
        <w:rPr>
          <w:rFonts w:ascii="黑体" w:hAnsi="黑体" w:eastAsia="黑体"/>
          <w:sz w:val="48"/>
          <w:szCs w:val="48"/>
        </w:rPr>
      </w:pPr>
      <w:r>
        <w:rPr>
          <w:rFonts w:hint="eastAsia" w:ascii="黑体" w:hAnsi="黑体" w:eastAsia="黑体"/>
          <w:sz w:val="48"/>
          <w:szCs w:val="48"/>
        </w:rPr>
        <w:t>（征求意见稿）</w:t>
      </w:r>
    </w:p>
    <w:p>
      <w:pPr>
        <w:jc w:val="center"/>
        <w:rPr>
          <w:b/>
          <w:bCs/>
          <w:sz w:val="32"/>
          <w:szCs w:val="32"/>
        </w:rPr>
      </w:pPr>
    </w:p>
    <w:p>
      <w:pPr>
        <w:jc w:val="center"/>
        <w:rPr>
          <w:b/>
          <w:bCs/>
          <w:sz w:val="32"/>
          <w:szCs w:val="32"/>
        </w:rPr>
      </w:pPr>
    </w:p>
    <w:p>
      <w:pPr>
        <w:jc w:val="center"/>
        <w:rPr>
          <w:b/>
          <w:bCs/>
          <w:sz w:val="32"/>
          <w:szCs w:val="32"/>
        </w:rPr>
      </w:pPr>
    </w:p>
    <w:p>
      <w:pPr>
        <w:jc w:val="center"/>
        <w:rPr>
          <w:b/>
          <w:bCs/>
          <w:sz w:val="32"/>
          <w:szCs w:val="32"/>
        </w:rPr>
      </w:pPr>
    </w:p>
    <w:p>
      <w:pPr>
        <w:jc w:val="center"/>
        <w:rPr>
          <w:b/>
          <w:bCs/>
          <w:sz w:val="32"/>
          <w:szCs w:val="32"/>
        </w:rPr>
      </w:pPr>
    </w:p>
    <w:p>
      <w:pPr>
        <w:jc w:val="center"/>
        <w:rPr>
          <w:b/>
          <w:bCs/>
          <w:sz w:val="32"/>
          <w:szCs w:val="32"/>
        </w:rPr>
      </w:pPr>
    </w:p>
    <w:p>
      <w:pPr>
        <w:jc w:val="center"/>
        <w:rPr>
          <w:b/>
          <w:bCs/>
          <w:sz w:val="32"/>
          <w:szCs w:val="32"/>
        </w:rPr>
      </w:pPr>
    </w:p>
    <w:p>
      <w:pPr>
        <w:jc w:val="center"/>
        <w:rPr>
          <w:b/>
          <w:bCs/>
          <w:sz w:val="32"/>
          <w:szCs w:val="32"/>
        </w:rPr>
      </w:pPr>
    </w:p>
    <w:p>
      <w:pPr>
        <w:jc w:val="center"/>
        <w:rPr>
          <w:b/>
          <w:bCs/>
          <w:sz w:val="32"/>
          <w:szCs w:val="32"/>
        </w:rPr>
      </w:pPr>
    </w:p>
    <w:p>
      <w:pPr>
        <w:jc w:val="center"/>
        <w:rPr>
          <w:b/>
          <w:bCs/>
          <w:sz w:val="32"/>
          <w:szCs w:val="32"/>
        </w:rPr>
      </w:pPr>
    </w:p>
    <w:p>
      <w:pPr>
        <w:jc w:val="center"/>
        <w:rPr>
          <w:rFonts w:ascii="黑体" w:hAnsi="黑体" w:eastAsia="黑体"/>
          <w:sz w:val="44"/>
          <w:szCs w:val="44"/>
        </w:rPr>
      </w:pPr>
      <w:r>
        <w:rPr>
          <w:rFonts w:hint="eastAsia" w:ascii="黑体" w:hAnsi="黑体" w:eastAsia="黑体"/>
          <w:sz w:val="44"/>
          <w:szCs w:val="44"/>
        </w:rPr>
        <w:t>标准起草组</w:t>
      </w:r>
    </w:p>
    <w:p>
      <w:pPr>
        <w:jc w:val="center"/>
        <w:rPr>
          <w:rFonts w:ascii="黑体" w:hAnsi="黑体" w:eastAsia="黑体"/>
          <w:sz w:val="44"/>
          <w:szCs w:val="44"/>
        </w:rPr>
      </w:pPr>
      <w:r>
        <w:rPr>
          <w:rFonts w:hint="eastAsia" w:ascii="黑体" w:hAnsi="黑体" w:eastAsia="黑体"/>
          <w:sz w:val="44"/>
          <w:szCs w:val="44"/>
        </w:rPr>
        <w:t>2</w:t>
      </w:r>
      <w:r>
        <w:rPr>
          <w:rFonts w:ascii="黑体" w:hAnsi="黑体" w:eastAsia="黑体"/>
          <w:sz w:val="44"/>
          <w:szCs w:val="44"/>
        </w:rPr>
        <w:t>021</w:t>
      </w:r>
      <w:r>
        <w:rPr>
          <w:rFonts w:hint="eastAsia" w:ascii="黑体" w:hAnsi="黑体" w:eastAsia="黑体"/>
          <w:sz w:val="44"/>
          <w:szCs w:val="44"/>
        </w:rPr>
        <w:t>年</w:t>
      </w:r>
      <w:r>
        <w:rPr>
          <w:rFonts w:ascii="黑体" w:hAnsi="黑体" w:eastAsia="黑体"/>
          <w:sz w:val="44"/>
          <w:szCs w:val="44"/>
        </w:rPr>
        <w:t>7</w:t>
      </w:r>
      <w:r>
        <w:rPr>
          <w:rFonts w:hint="eastAsia" w:ascii="黑体" w:hAnsi="黑体" w:eastAsia="黑体"/>
          <w:sz w:val="44"/>
          <w:szCs w:val="44"/>
        </w:rPr>
        <w:t>月</w:t>
      </w:r>
    </w:p>
    <w:p>
      <w:pPr>
        <w:jc w:val="center"/>
        <w:rPr>
          <w:b/>
          <w:bCs/>
          <w:sz w:val="32"/>
          <w:szCs w:val="32"/>
        </w:rPr>
      </w:pPr>
    </w:p>
    <w:p>
      <w:pPr>
        <w:jc w:val="center"/>
        <w:rPr>
          <w:b/>
          <w:bCs/>
          <w:sz w:val="32"/>
          <w:szCs w:val="32"/>
        </w:rPr>
      </w:pPr>
    </w:p>
    <w:p>
      <w:pPr>
        <w:jc w:val="center"/>
        <w:rPr>
          <w:b/>
          <w:bCs/>
          <w:sz w:val="32"/>
          <w:szCs w:val="32"/>
        </w:rPr>
      </w:pPr>
    </w:p>
    <w:p>
      <w:pPr>
        <w:jc w:val="center"/>
        <w:rPr>
          <w:rFonts w:ascii="黑体" w:hAnsi="黑体" w:eastAsia="黑体"/>
          <w:sz w:val="36"/>
          <w:szCs w:val="36"/>
        </w:rPr>
      </w:pPr>
      <w:r>
        <w:rPr>
          <w:rFonts w:hint="eastAsia" w:ascii="黑体" w:hAnsi="黑体" w:eastAsia="黑体"/>
          <w:sz w:val="36"/>
          <w:szCs w:val="36"/>
        </w:rPr>
        <w:t>目次</w:t>
      </w:r>
    </w:p>
    <w:p>
      <w:pPr>
        <w:pStyle w:val="5"/>
        <w:tabs>
          <w:tab w:val="right" w:leader="dot" w:pos="9061"/>
        </w:tabs>
        <w:ind w:left="0" w:leftChars="0"/>
        <w:rPr>
          <w:rFonts w:ascii="宋体" w:hAnsi="宋体" w:cstheme="minorBidi"/>
          <w:sz w:val="28"/>
          <w:szCs w:val="28"/>
        </w:rPr>
      </w:pPr>
      <w:r>
        <w:rPr>
          <w:rFonts w:hint="eastAsia" w:ascii="宋体" w:hAnsi="宋体"/>
          <w:sz w:val="28"/>
          <w:szCs w:val="28"/>
        </w:rPr>
        <w:t>一、立项背景</w:t>
      </w:r>
      <w:r>
        <w:rPr>
          <w:rFonts w:ascii="宋体" w:hAnsi="宋体"/>
          <w:sz w:val="28"/>
          <w:szCs w:val="28"/>
        </w:rPr>
        <w:tab/>
      </w:r>
      <w:r>
        <w:rPr>
          <w:rFonts w:ascii="宋体" w:hAnsi="宋体"/>
          <w:sz w:val="28"/>
          <w:szCs w:val="28"/>
        </w:rPr>
        <w:t>2</w:t>
      </w:r>
    </w:p>
    <w:p>
      <w:pPr>
        <w:pStyle w:val="5"/>
        <w:tabs>
          <w:tab w:val="right" w:leader="dot" w:pos="9061"/>
        </w:tabs>
        <w:ind w:left="0" w:leftChars="0"/>
        <w:rPr>
          <w:rFonts w:ascii="宋体" w:hAnsi="宋体" w:cstheme="minorBidi"/>
          <w:sz w:val="28"/>
          <w:szCs w:val="28"/>
        </w:rPr>
      </w:pPr>
      <w:r>
        <w:rPr>
          <w:rFonts w:hint="eastAsia" w:ascii="宋体" w:hAnsi="宋体"/>
          <w:sz w:val="28"/>
          <w:szCs w:val="28"/>
        </w:rPr>
        <w:t>二、适用范围和拟解决问题</w:t>
      </w:r>
      <w:r>
        <w:rPr>
          <w:rFonts w:ascii="宋体" w:hAnsi="宋体"/>
          <w:sz w:val="28"/>
          <w:szCs w:val="28"/>
        </w:rPr>
        <w:tab/>
      </w:r>
      <w:r>
        <w:rPr>
          <w:rFonts w:hint="eastAsia" w:ascii="宋体" w:hAnsi="宋体"/>
          <w:sz w:val="28"/>
          <w:szCs w:val="28"/>
        </w:rPr>
        <w:t>3</w:t>
      </w:r>
    </w:p>
    <w:p>
      <w:pPr>
        <w:pStyle w:val="5"/>
        <w:tabs>
          <w:tab w:val="right" w:leader="dot" w:pos="9061"/>
        </w:tabs>
        <w:ind w:left="0" w:leftChars="0"/>
        <w:rPr>
          <w:rFonts w:ascii="宋体" w:hAnsi="宋体" w:cstheme="minorBidi"/>
          <w:sz w:val="28"/>
          <w:szCs w:val="28"/>
        </w:rPr>
      </w:pPr>
      <w:r>
        <w:rPr>
          <w:rFonts w:hint="eastAsia" w:ascii="宋体" w:hAnsi="宋体"/>
          <w:sz w:val="28"/>
          <w:szCs w:val="28"/>
        </w:rPr>
        <w:t>三、标准制定原则</w:t>
      </w:r>
      <w:r>
        <w:rPr>
          <w:rFonts w:ascii="宋体" w:hAnsi="宋体"/>
          <w:sz w:val="28"/>
          <w:szCs w:val="28"/>
        </w:rPr>
        <w:tab/>
      </w:r>
      <w:r>
        <w:rPr>
          <w:rFonts w:hint="eastAsia" w:ascii="宋体" w:hAnsi="宋体"/>
          <w:sz w:val="28"/>
          <w:szCs w:val="28"/>
        </w:rPr>
        <w:t>4</w:t>
      </w:r>
    </w:p>
    <w:p>
      <w:pPr>
        <w:pStyle w:val="5"/>
        <w:tabs>
          <w:tab w:val="right" w:leader="dot" w:pos="9061"/>
        </w:tabs>
        <w:ind w:left="0" w:leftChars="0"/>
        <w:rPr>
          <w:rFonts w:ascii="宋体" w:hAnsi="宋体" w:cstheme="minorBidi"/>
          <w:sz w:val="28"/>
          <w:szCs w:val="28"/>
        </w:rPr>
      </w:pPr>
      <w:r>
        <w:rPr>
          <w:rFonts w:hint="eastAsia" w:ascii="宋体" w:hAnsi="宋体"/>
          <w:sz w:val="28"/>
          <w:szCs w:val="28"/>
        </w:rPr>
        <w:t>四、主要工作过程</w:t>
      </w:r>
      <w:r>
        <w:rPr>
          <w:rFonts w:ascii="宋体" w:hAnsi="宋体"/>
          <w:sz w:val="28"/>
          <w:szCs w:val="28"/>
        </w:rPr>
        <w:tab/>
      </w:r>
      <w:r>
        <w:rPr>
          <w:rFonts w:hint="eastAsia" w:ascii="宋体" w:hAnsi="宋体"/>
          <w:sz w:val="28"/>
          <w:szCs w:val="28"/>
        </w:rPr>
        <w:t>4</w:t>
      </w:r>
    </w:p>
    <w:p>
      <w:pPr>
        <w:pStyle w:val="5"/>
        <w:tabs>
          <w:tab w:val="right" w:leader="dot" w:pos="9061"/>
        </w:tabs>
        <w:ind w:left="0" w:leftChars="0"/>
        <w:rPr>
          <w:rFonts w:ascii="宋体" w:hAnsi="宋体" w:cstheme="minorBidi"/>
          <w:sz w:val="28"/>
          <w:szCs w:val="28"/>
        </w:rPr>
      </w:pPr>
      <w:r>
        <w:rPr>
          <w:rFonts w:hint="eastAsia" w:ascii="宋体" w:hAnsi="宋体"/>
          <w:sz w:val="28"/>
          <w:szCs w:val="28"/>
        </w:rPr>
        <w:t>五、标准主要技术内容</w:t>
      </w:r>
      <w:r>
        <w:rPr>
          <w:rFonts w:ascii="宋体" w:hAnsi="宋体"/>
          <w:sz w:val="28"/>
          <w:szCs w:val="28"/>
        </w:rPr>
        <w:tab/>
      </w:r>
      <w:r>
        <w:rPr>
          <w:rFonts w:ascii="宋体" w:hAnsi="宋体"/>
          <w:sz w:val="28"/>
          <w:szCs w:val="28"/>
        </w:rPr>
        <w:t>5</w:t>
      </w:r>
    </w:p>
    <w:p>
      <w:pPr>
        <w:pStyle w:val="5"/>
        <w:tabs>
          <w:tab w:val="right" w:leader="dot" w:pos="9061"/>
        </w:tabs>
        <w:ind w:left="0" w:leftChars="0"/>
        <w:rPr>
          <w:rFonts w:ascii="宋体" w:hAnsi="宋体"/>
          <w:sz w:val="28"/>
          <w:szCs w:val="28"/>
        </w:rPr>
      </w:pPr>
      <w:r>
        <w:rPr>
          <w:rFonts w:hint="eastAsia" w:ascii="宋体" w:hAnsi="宋体"/>
          <w:sz w:val="28"/>
          <w:szCs w:val="28"/>
        </w:rPr>
        <w:t>六、预期作用和效益</w:t>
      </w:r>
      <w:r>
        <w:rPr>
          <w:rFonts w:ascii="宋体" w:hAnsi="宋体"/>
          <w:sz w:val="28"/>
          <w:szCs w:val="28"/>
        </w:rPr>
        <w:tab/>
      </w:r>
      <w:r>
        <w:rPr>
          <w:rFonts w:ascii="宋体" w:hAnsi="宋体"/>
          <w:sz w:val="28"/>
          <w:szCs w:val="28"/>
        </w:rPr>
        <w:t>8</w:t>
      </w:r>
    </w:p>
    <w:p>
      <w:pPr>
        <w:pStyle w:val="5"/>
        <w:tabs>
          <w:tab w:val="right" w:leader="dot" w:pos="9061"/>
        </w:tabs>
        <w:ind w:left="0" w:leftChars="0"/>
        <w:rPr>
          <w:rFonts w:ascii="宋体" w:hAnsi="宋体"/>
          <w:sz w:val="28"/>
          <w:szCs w:val="28"/>
        </w:rPr>
      </w:pPr>
      <w:r>
        <w:rPr>
          <w:rFonts w:hint="eastAsia" w:ascii="宋体" w:hAnsi="宋体"/>
          <w:sz w:val="28"/>
          <w:szCs w:val="28"/>
        </w:rPr>
        <w:t>七、采用国际标准和国外先进标准的程度，以及与国际、国外同类标准水平的对比情况</w:t>
      </w:r>
      <w:r>
        <w:rPr>
          <w:rFonts w:ascii="宋体" w:hAnsi="宋体"/>
          <w:sz w:val="28"/>
          <w:szCs w:val="28"/>
        </w:rPr>
        <w:tab/>
      </w:r>
      <w:r>
        <w:rPr>
          <w:rFonts w:ascii="宋体" w:hAnsi="宋体"/>
          <w:sz w:val="28"/>
          <w:szCs w:val="28"/>
        </w:rPr>
        <w:t>8</w:t>
      </w:r>
    </w:p>
    <w:p>
      <w:pPr>
        <w:pStyle w:val="5"/>
        <w:tabs>
          <w:tab w:val="right" w:leader="dot" w:pos="9061"/>
        </w:tabs>
        <w:ind w:left="0" w:leftChars="0"/>
        <w:rPr>
          <w:rFonts w:ascii="宋体" w:hAnsi="宋体"/>
          <w:sz w:val="28"/>
          <w:szCs w:val="28"/>
        </w:rPr>
      </w:pPr>
      <w:r>
        <w:rPr>
          <w:rFonts w:hint="eastAsia" w:ascii="宋体" w:hAnsi="宋体"/>
          <w:sz w:val="28"/>
          <w:szCs w:val="28"/>
        </w:rPr>
        <w:t>八、与有关的现行法律、法规和强制性国家标准的关系</w:t>
      </w:r>
      <w:r>
        <w:rPr>
          <w:rFonts w:ascii="宋体" w:hAnsi="宋体"/>
          <w:sz w:val="28"/>
          <w:szCs w:val="28"/>
        </w:rPr>
        <w:tab/>
      </w:r>
      <w:r>
        <w:rPr>
          <w:rFonts w:ascii="宋体" w:hAnsi="宋体"/>
          <w:sz w:val="28"/>
          <w:szCs w:val="28"/>
        </w:rPr>
        <w:t>8</w:t>
      </w:r>
    </w:p>
    <w:p>
      <w:pPr>
        <w:pStyle w:val="5"/>
        <w:tabs>
          <w:tab w:val="right" w:leader="dot" w:pos="9061"/>
        </w:tabs>
        <w:ind w:left="0" w:leftChars="0"/>
        <w:rPr>
          <w:rFonts w:ascii="宋体" w:hAnsi="宋体"/>
          <w:sz w:val="28"/>
          <w:szCs w:val="28"/>
        </w:rPr>
      </w:pPr>
      <w:r>
        <w:rPr>
          <w:rFonts w:hint="eastAsia" w:ascii="宋体" w:hAnsi="宋体"/>
          <w:sz w:val="28"/>
          <w:szCs w:val="28"/>
        </w:rPr>
        <w:t>九、重大分歧意见的处理经过和依据</w:t>
      </w:r>
      <w:r>
        <w:rPr>
          <w:rFonts w:ascii="宋体" w:hAnsi="宋体"/>
          <w:sz w:val="28"/>
          <w:szCs w:val="28"/>
        </w:rPr>
        <w:tab/>
      </w:r>
      <w:r>
        <w:rPr>
          <w:rFonts w:ascii="宋体" w:hAnsi="宋体"/>
          <w:sz w:val="28"/>
          <w:szCs w:val="28"/>
        </w:rPr>
        <w:t>8</w:t>
      </w:r>
    </w:p>
    <w:p>
      <w:pPr>
        <w:pStyle w:val="5"/>
        <w:tabs>
          <w:tab w:val="right" w:leader="dot" w:pos="9061"/>
        </w:tabs>
        <w:ind w:left="0" w:leftChars="0"/>
        <w:rPr>
          <w:rFonts w:ascii="宋体" w:hAnsi="宋体"/>
          <w:sz w:val="28"/>
          <w:szCs w:val="28"/>
        </w:rPr>
      </w:pPr>
      <w:r>
        <w:rPr>
          <w:rFonts w:hint="eastAsia" w:ascii="宋体" w:hAnsi="宋体"/>
          <w:sz w:val="28"/>
          <w:szCs w:val="28"/>
        </w:rPr>
        <w:t>十、贯彻国家标准的要求和措施建议</w:t>
      </w:r>
      <w:r>
        <w:rPr>
          <w:rFonts w:ascii="宋体" w:hAnsi="宋体"/>
          <w:sz w:val="28"/>
          <w:szCs w:val="28"/>
        </w:rPr>
        <w:tab/>
      </w:r>
      <w:r>
        <w:rPr>
          <w:rFonts w:ascii="宋体" w:hAnsi="宋体"/>
          <w:sz w:val="28"/>
          <w:szCs w:val="28"/>
        </w:rPr>
        <w:t>8</w:t>
      </w: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ind w:firstLine="562" w:firstLineChars="200"/>
        <w:rPr>
          <w:rFonts w:ascii="宋体" w:hAnsi="宋体" w:eastAsia="宋体"/>
          <w:b/>
          <w:bCs/>
          <w:sz w:val="28"/>
          <w:szCs w:val="28"/>
        </w:rPr>
      </w:pPr>
      <w:r>
        <w:rPr>
          <w:rFonts w:hint="eastAsia" w:ascii="宋体" w:hAnsi="宋体" w:eastAsia="宋体"/>
          <w:b/>
          <w:bCs/>
          <w:sz w:val="28"/>
          <w:szCs w:val="28"/>
        </w:rPr>
        <w:t>一、立项背景</w:t>
      </w:r>
    </w:p>
    <w:p>
      <w:pPr>
        <w:ind w:firstLine="560" w:firstLineChars="200"/>
        <w:rPr>
          <w:rFonts w:ascii="宋体" w:hAnsi="宋体" w:eastAsia="宋体"/>
          <w:sz w:val="28"/>
          <w:szCs w:val="28"/>
        </w:rPr>
      </w:pPr>
      <w:r>
        <w:rPr>
          <w:rFonts w:hint="eastAsia" w:ascii="宋体" w:hAnsi="宋体" w:eastAsia="宋体"/>
          <w:sz w:val="28"/>
          <w:szCs w:val="28"/>
        </w:rPr>
        <w:t>随着北方地区煤改电政策的大力推广，以及低环境温度空气源热泵（冷水）机组产品在北方地区大面积的使用，低环境温度空气源热泵（冷水）机组节能、环保的特点逐步获得市场认可。</w:t>
      </w:r>
    </w:p>
    <w:p>
      <w:pPr>
        <w:ind w:firstLine="560" w:firstLineChars="200"/>
        <w:rPr>
          <w:rFonts w:ascii="宋体" w:hAnsi="宋体" w:eastAsia="宋体"/>
          <w:sz w:val="28"/>
          <w:szCs w:val="28"/>
        </w:rPr>
      </w:pPr>
      <w:r>
        <w:rPr>
          <w:rFonts w:hint="eastAsia" w:ascii="宋体" w:hAnsi="宋体" w:eastAsia="宋体"/>
          <w:sz w:val="28"/>
          <w:szCs w:val="28"/>
        </w:rPr>
        <w:t>为了更好地规范低环境温度空气源热泵（冷水）机组市场，促进行业的进步，将该产品节能环保的优点得以更好体现，制定低温空气源热泵机组产品的“领跑者”标准评价显得尤为必要。</w:t>
      </w:r>
    </w:p>
    <w:p>
      <w:pPr>
        <w:ind w:firstLine="560" w:firstLineChars="200"/>
        <w:rPr>
          <w:rFonts w:ascii="宋体" w:hAnsi="宋体" w:eastAsia="宋体" w:cs="华文楷体"/>
          <w:sz w:val="28"/>
          <w:szCs w:val="28"/>
        </w:rPr>
      </w:pPr>
      <w:r>
        <w:rPr>
          <w:rFonts w:hint="eastAsia" w:ascii="宋体" w:hAnsi="宋体" w:eastAsia="宋体"/>
          <w:sz w:val="28"/>
          <w:szCs w:val="28"/>
        </w:rPr>
        <w:t>通过开展低环境温度空气源热泵（冷水）机组产品“领跑者”评价工作，有利于引导低温热泵企业更加关注产品质量与环保性能等有关的技术指标，促使企业设计开发优质环保的低环境温度空气源热泵（冷水）机组产品，提高行业整体水平。</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二、适用范围和拟解决问题</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1、适用范围</w:t>
      </w:r>
    </w:p>
    <w:p>
      <w:pPr>
        <w:ind w:firstLine="560" w:firstLineChars="200"/>
        <w:rPr>
          <w:rFonts w:ascii="宋体" w:hAnsi="宋体" w:eastAsia="宋体" w:cs="华文楷体"/>
          <w:sz w:val="28"/>
          <w:szCs w:val="28"/>
        </w:rPr>
      </w:pPr>
      <w:r>
        <w:rPr>
          <w:rFonts w:hint="eastAsia" w:ascii="宋体" w:hAnsi="宋体" w:eastAsia="宋体" w:cs="华文楷体"/>
          <w:sz w:val="28"/>
          <w:szCs w:val="28"/>
        </w:rPr>
        <w:t>本标准规定了低环境温度空气源热泵（冷水）机组产品企业标准领跑者评价标准的术语和定义、基本要求、评价指标体系和评价方法及等级划分。</w:t>
      </w:r>
    </w:p>
    <w:p>
      <w:pPr>
        <w:ind w:firstLine="560" w:firstLineChars="200"/>
        <w:rPr>
          <w:rFonts w:ascii="宋体" w:hAnsi="宋体" w:eastAsia="宋体" w:cs="华文楷体"/>
          <w:sz w:val="28"/>
          <w:szCs w:val="28"/>
        </w:rPr>
      </w:pPr>
      <w:r>
        <w:rPr>
          <w:rFonts w:hint="eastAsia" w:ascii="宋体" w:hAnsi="宋体" w:eastAsia="宋体" w:cs="华文楷体"/>
          <w:sz w:val="28"/>
          <w:szCs w:val="28"/>
        </w:rPr>
        <w:t>本标准适用于以电动机驱动，以空气为热源，并能在不低于</w:t>
      </w:r>
      <w:r>
        <w:rPr>
          <w:rFonts w:ascii="宋体" w:hAnsi="宋体" w:eastAsia="宋体" w:cs="华文楷体"/>
          <w:sz w:val="28"/>
          <w:szCs w:val="28"/>
        </w:rPr>
        <w:t>-25℃的环境温度里制取热（冷）水的机组。</w:t>
      </w:r>
    </w:p>
    <w:p>
      <w:pPr>
        <w:ind w:firstLine="560" w:firstLineChars="200"/>
        <w:rPr>
          <w:rFonts w:ascii="宋体" w:hAnsi="宋体" w:eastAsia="宋体" w:cs="华文楷体"/>
          <w:sz w:val="28"/>
          <w:szCs w:val="28"/>
        </w:rPr>
      </w:pPr>
      <w:r>
        <w:rPr>
          <w:rFonts w:hint="eastAsia" w:ascii="宋体" w:hAnsi="宋体" w:eastAsia="宋体" w:cs="华文楷体"/>
          <w:sz w:val="28"/>
          <w:szCs w:val="28"/>
        </w:rPr>
        <w:t>本标准规定了低环境温度空气源热泵（冷水）机组产品企业标准“领跑者”评价的术语和定义、基本要求、评价指标体系和评价方法及周期。</w:t>
      </w:r>
    </w:p>
    <w:p>
      <w:pPr>
        <w:ind w:firstLine="560" w:firstLineChars="200"/>
        <w:rPr>
          <w:rFonts w:ascii="宋体" w:hAnsi="宋体" w:eastAsia="宋体" w:cs="华文楷体"/>
          <w:sz w:val="28"/>
          <w:szCs w:val="28"/>
        </w:rPr>
      </w:pPr>
      <w:r>
        <w:rPr>
          <w:rFonts w:hint="eastAsia" w:ascii="宋体" w:hAnsi="宋体" w:eastAsia="宋体" w:cs="华文楷体"/>
          <w:sz w:val="28"/>
          <w:szCs w:val="28"/>
        </w:rPr>
        <w:t>企业在制定企业标准时可参照使用。相关机构在制定企业标准“领跑者”评估方案时也可参考使用。</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2、拟解决问题</w:t>
      </w:r>
    </w:p>
    <w:p>
      <w:pPr>
        <w:ind w:firstLine="560" w:firstLineChars="200"/>
        <w:rPr>
          <w:rFonts w:ascii="宋体" w:hAnsi="宋体" w:eastAsia="宋体" w:cs="华文楷体"/>
          <w:sz w:val="28"/>
          <w:szCs w:val="28"/>
        </w:rPr>
      </w:pPr>
      <w:r>
        <w:rPr>
          <w:rFonts w:hint="eastAsia" w:ascii="宋体" w:hAnsi="宋体" w:eastAsia="宋体" w:cs="华文楷体"/>
          <w:sz w:val="28"/>
          <w:szCs w:val="28"/>
        </w:rPr>
        <w:t>本文件的提出旨用技术指标规范低环境温度空气源热泵（冷水）机组企业标准，用标准引导企业关注产品质量与环保性能等有关的技术指标，促使企业设计开发优质环保的空调产品，满足目前的市场需求，提高空调的质量和环保水平。</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三、标准制定原则</w:t>
      </w:r>
    </w:p>
    <w:p>
      <w:pPr>
        <w:ind w:firstLine="560" w:firstLineChars="200"/>
        <w:rPr>
          <w:rFonts w:ascii="宋体" w:hAnsi="宋体" w:eastAsia="宋体" w:cs="华文楷体"/>
          <w:sz w:val="28"/>
          <w:szCs w:val="28"/>
        </w:rPr>
      </w:pPr>
      <w:r>
        <w:rPr>
          <w:rFonts w:hint="eastAsia" w:ascii="宋体" w:hAnsi="宋体" w:eastAsia="宋体" w:cs="华文楷体"/>
          <w:sz w:val="28"/>
          <w:szCs w:val="28"/>
        </w:rPr>
        <w:t>本标准的制定依据以下原则：</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1.适用性原则</w:t>
      </w:r>
    </w:p>
    <w:p>
      <w:pPr>
        <w:ind w:firstLine="560" w:firstLineChars="200"/>
        <w:rPr>
          <w:rFonts w:ascii="宋体" w:hAnsi="宋体" w:eastAsia="宋体" w:cs="华文楷体"/>
          <w:sz w:val="28"/>
          <w:szCs w:val="28"/>
        </w:rPr>
      </w:pPr>
      <w:r>
        <w:rPr>
          <w:rFonts w:hint="eastAsia" w:ascii="宋体" w:hAnsi="宋体" w:eastAsia="宋体" w:cs="华文楷体"/>
          <w:sz w:val="28"/>
          <w:szCs w:val="28"/>
        </w:rPr>
        <w:t>本标准的编制充分考虑与我国现行法律法规和国家节能政策等相符合性，充分考虑可操作性，便于标准的实施。</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2.规范性原则</w:t>
      </w:r>
    </w:p>
    <w:p>
      <w:pPr>
        <w:ind w:firstLine="560" w:firstLineChars="200"/>
        <w:rPr>
          <w:rFonts w:ascii="宋体" w:hAnsi="宋体" w:eastAsia="宋体" w:cs="华文楷体"/>
          <w:sz w:val="28"/>
          <w:szCs w:val="28"/>
        </w:rPr>
      </w:pPr>
      <w:r>
        <w:rPr>
          <w:rFonts w:hint="eastAsia" w:ascii="宋体" w:hAnsi="宋体" w:eastAsia="宋体" w:cs="华文楷体"/>
          <w:sz w:val="28"/>
          <w:szCs w:val="28"/>
        </w:rPr>
        <w:t>本标准根据《中华人民共和国标准法》、</w:t>
      </w:r>
      <w:r>
        <w:rPr>
          <w:rFonts w:ascii="Times New Roman" w:hAnsi="Times New Roman" w:eastAsia="宋体" w:cs="Times New Roman"/>
          <w:sz w:val="28"/>
          <w:szCs w:val="28"/>
        </w:rPr>
        <w:t>GB/T 1.1</w:t>
      </w:r>
      <w:r>
        <w:rPr>
          <w:rFonts w:hint="eastAsia" w:ascii="宋体" w:hAnsi="宋体" w:eastAsia="宋体" w:cs="华文楷体"/>
          <w:sz w:val="28"/>
          <w:szCs w:val="28"/>
        </w:rPr>
        <w:t>《标准化工作导则第</w:t>
      </w:r>
      <w:r>
        <w:rPr>
          <w:rFonts w:ascii="宋体" w:hAnsi="宋体" w:eastAsia="宋体" w:cs="华文楷体"/>
          <w:sz w:val="28"/>
          <w:szCs w:val="28"/>
        </w:rPr>
        <w:t>1部分：标准</w:t>
      </w:r>
      <w:r>
        <w:rPr>
          <w:rFonts w:hint="eastAsia" w:ascii="宋体" w:hAnsi="宋体" w:eastAsia="宋体" w:cs="华文楷体"/>
          <w:sz w:val="28"/>
          <w:szCs w:val="28"/>
        </w:rPr>
        <w:t>化文件</w:t>
      </w:r>
      <w:r>
        <w:rPr>
          <w:rFonts w:ascii="宋体" w:hAnsi="宋体" w:eastAsia="宋体" w:cs="华文楷体"/>
          <w:sz w:val="28"/>
          <w:szCs w:val="28"/>
        </w:rPr>
        <w:t>的结构和</w:t>
      </w:r>
      <w:r>
        <w:rPr>
          <w:rFonts w:hint="eastAsia" w:ascii="宋体" w:hAnsi="宋体" w:eastAsia="宋体" w:cs="华文楷体"/>
          <w:sz w:val="28"/>
          <w:szCs w:val="28"/>
        </w:rPr>
        <w:t>起草规则</w:t>
      </w:r>
      <w:r>
        <w:rPr>
          <w:rFonts w:ascii="宋体" w:hAnsi="宋体" w:eastAsia="宋体" w:cs="华文楷体"/>
          <w:sz w:val="28"/>
          <w:szCs w:val="28"/>
        </w:rPr>
        <w:t>》、</w:t>
      </w:r>
      <w:r>
        <w:rPr>
          <w:rFonts w:ascii="Times New Roman" w:hAnsi="Times New Roman" w:eastAsia="宋体" w:cs="Times New Roman"/>
          <w:sz w:val="28"/>
          <w:szCs w:val="28"/>
        </w:rPr>
        <w:t>T/CAQP 015</w:t>
      </w:r>
      <w:r>
        <w:rPr>
          <w:rFonts w:hint="eastAsia" w:ascii="Times New Roman" w:hAnsi="Times New Roman" w:eastAsia="宋体" w:cs="Times New Roman"/>
          <w:sz w:val="28"/>
          <w:szCs w:val="28"/>
        </w:rPr>
        <w:t xml:space="preserve"> T/ESF 0001</w:t>
      </w:r>
      <w:r>
        <w:rPr>
          <w:rFonts w:hint="eastAsia" w:ascii="宋体" w:hAnsi="宋体" w:eastAsia="宋体" w:cs="华文楷体"/>
          <w:sz w:val="28"/>
          <w:szCs w:val="28"/>
        </w:rPr>
        <w:t>《</w:t>
      </w:r>
      <w:r>
        <w:rPr>
          <w:rFonts w:ascii="宋体" w:hAnsi="宋体" w:eastAsia="宋体" w:cs="华文楷体"/>
          <w:sz w:val="28"/>
          <w:szCs w:val="28"/>
        </w:rPr>
        <w:t>“领跑者”标准编制通则</w:t>
      </w:r>
      <w:r>
        <w:rPr>
          <w:rFonts w:hint="eastAsia" w:ascii="宋体" w:hAnsi="宋体" w:eastAsia="宋体" w:cs="华文楷体"/>
          <w:sz w:val="28"/>
          <w:szCs w:val="28"/>
        </w:rPr>
        <w:t>》</w:t>
      </w:r>
      <w:r>
        <w:rPr>
          <w:rFonts w:ascii="宋体" w:hAnsi="宋体" w:eastAsia="宋体" w:cs="华文楷体"/>
          <w:sz w:val="28"/>
          <w:szCs w:val="28"/>
        </w:rPr>
        <w:t>进行编制。</w:t>
      </w:r>
    </w:p>
    <w:p>
      <w:pPr>
        <w:ind w:firstLine="560" w:firstLineChars="200"/>
        <w:rPr>
          <w:rFonts w:ascii="宋体" w:hAnsi="宋体" w:eastAsia="宋体" w:cs="华文楷体"/>
          <w:sz w:val="28"/>
          <w:szCs w:val="28"/>
        </w:rPr>
      </w:pPr>
      <w:r>
        <w:rPr>
          <w:rFonts w:hint="eastAsia" w:ascii="宋体" w:hAnsi="宋体" w:eastAsia="宋体" w:cs="华文楷体"/>
          <w:sz w:val="28"/>
          <w:szCs w:val="28"/>
        </w:rPr>
        <w:t>本</w:t>
      </w:r>
      <w:r>
        <w:rPr>
          <w:rFonts w:ascii="宋体" w:hAnsi="宋体" w:eastAsia="宋体" w:cs="华文楷体"/>
          <w:sz w:val="28"/>
          <w:szCs w:val="28"/>
        </w:rPr>
        <w:t>标准编制所参考的依据为国家有关法律法规以及强制性标准要求、国家及行业产品标准、国内或国际先进产品标准等</w:t>
      </w:r>
      <w:r>
        <w:rPr>
          <w:rFonts w:hint="eastAsia" w:ascii="宋体" w:hAnsi="宋体" w:eastAsia="宋体" w:cs="华文楷体"/>
          <w:sz w:val="28"/>
          <w:szCs w:val="28"/>
        </w:rPr>
        <w:t xml:space="preserve">,具体如下：    </w:t>
      </w:r>
    </w:p>
    <w:p>
      <w:pPr>
        <w:ind w:firstLine="560" w:firstLineChars="200"/>
        <w:rPr>
          <w:rFonts w:hint="eastAsia" w:ascii="宋体" w:hAnsi="宋体" w:eastAsia="宋体" w:cs="华文楷体"/>
          <w:sz w:val="28"/>
          <w:szCs w:val="28"/>
        </w:rPr>
      </w:pPr>
      <w:r>
        <w:rPr>
          <w:rFonts w:hint="eastAsia" w:ascii="宋体" w:hAnsi="宋体" w:eastAsia="宋体" w:cs="华文楷体"/>
          <w:sz w:val="28"/>
          <w:szCs w:val="28"/>
        </w:rPr>
        <w:t>GB 25131 蒸气压缩循环冷水（热泵）机组 安全要求</w:t>
      </w:r>
    </w:p>
    <w:p>
      <w:pPr>
        <w:ind w:firstLine="560" w:firstLineChars="200"/>
        <w:rPr>
          <w:rFonts w:hint="eastAsia" w:ascii="宋体" w:hAnsi="宋体" w:eastAsia="宋体" w:cs="华文楷体"/>
          <w:sz w:val="28"/>
          <w:szCs w:val="28"/>
        </w:rPr>
      </w:pPr>
      <w:r>
        <w:rPr>
          <w:rFonts w:hint="eastAsia" w:ascii="宋体" w:hAnsi="宋体" w:eastAsia="宋体" w:cs="华文楷体"/>
          <w:sz w:val="28"/>
          <w:szCs w:val="28"/>
        </w:rPr>
        <w:t>GB 37480 低环境温度空气源热泵 （ 冷水）机组能效限定值及能效等级</w:t>
      </w:r>
    </w:p>
    <w:p>
      <w:pPr>
        <w:ind w:firstLine="560" w:firstLineChars="200"/>
        <w:rPr>
          <w:rFonts w:hint="default" w:ascii="宋体" w:hAnsi="宋体" w:eastAsia="宋体" w:cs="华文楷体"/>
          <w:sz w:val="28"/>
          <w:szCs w:val="28"/>
          <w:lang w:val="en-US" w:eastAsia="zh-CN"/>
        </w:rPr>
      </w:pPr>
      <w:r>
        <w:rPr>
          <w:rFonts w:hint="default" w:ascii="宋体" w:hAnsi="宋体" w:eastAsia="宋体" w:cs="华文楷体"/>
          <w:sz w:val="28"/>
          <w:szCs w:val="28"/>
        </w:rPr>
        <w:t>GB/T 1.1《标准化工作导则第1部分：标准化文件的结构和起草规则》</w:t>
      </w:r>
    </w:p>
    <w:p>
      <w:pPr>
        <w:ind w:firstLine="560" w:firstLineChars="200"/>
        <w:rPr>
          <w:rFonts w:hint="eastAsia" w:ascii="宋体" w:hAnsi="宋体" w:eastAsia="宋体" w:cs="华文楷体"/>
          <w:sz w:val="28"/>
          <w:szCs w:val="28"/>
        </w:rPr>
      </w:pPr>
      <w:r>
        <w:rPr>
          <w:rFonts w:hint="eastAsia" w:ascii="宋体" w:hAnsi="宋体" w:eastAsia="宋体" w:cs="华文楷体"/>
          <w:sz w:val="28"/>
          <w:szCs w:val="28"/>
        </w:rPr>
        <w:t>GB/T 191  包装储运图示标志</w:t>
      </w:r>
    </w:p>
    <w:p>
      <w:pPr>
        <w:ind w:firstLine="560" w:firstLineChars="200"/>
        <w:rPr>
          <w:rFonts w:hint="eastAsia" w:ascii="宋体" w:hAnsi="宋体" w:eastAsia="宋体" w:cs="华文楷体"/>
          <w:sz w:val="28"/>
          <w:szCs w:val="28"/>
        </w:rPr>
      </w:pPr>
      <w:r>
        <w:rPr>
          <w:rFonts w:hint="eastAsia" w:ascii="宋体" w:hAnsi="宋体" w:eastAsia="宋体" w:cs="华文楷体"/>
          <w:sz w:val="28"/>
          <w:szCs w:val="28"/>
        </w:rPr>
        <w:t>GB/T 2828  逐批检查计数抽样程序及抽样表（适用于连续批的检查）</w:t>
      </w:r>
    </w:p>
    <w:p>
      <w:pPr>
        <w:ind w:firstLine="560" w:firstLineChars="200"/>
        <w:rPr>
          <w:rFonts w:hint="eastAsia" w:ascii="宋体" w:hAnsi="宋体" w:eastAsia="宋体" w:cs="华文楷体"/>
          <w:sz w:val="28"/>
          <w:szCs w:val="28"/>
        </w:rPr>
      </w:pPr>
      <w:r>
        <w:rPr>
          <w:rFonts w:hint="eastAsia" w:ascii="宋体" w:hAnsi="宋体" w:eastAsia="宋体" w:cs="华文楷体"/>
          <w:sz w:val="28"/>
          <w:szCs w:val="28"/>
        </w:rPr>
        <w:t>GB 2894-2008  安全标志及其使用导则</w:t>
      </w:r>
    </w:p>
    <w:p>
      <w:pPr>
        <w:ind w:firstLine="560" w:firstLineChars="200"/>
        <w:rPr>
          <w:rFonts w:hint="eastAsia" w:ascii="宋体" w:hAnsi="宋体" w:eastAsia="宋体" w:cs="华文楷体"/>
          <w:sz w:val="28"/>
          <w:szCs w:val="28"/>
        </w:rPr>
      </w:pPr>
      <w:r>
        <w:rPr>
          <w:rFonts w:hint="eastAsia" w:ascii="宋体" w:hAnsi="宋体" w:eastAsia="宋体" w:cs="华文楷体"/>
          <w:sz w:val="28"/>
          <w:szCs w:val="28"/>
        </w:rPr>
        <w:t xml:space="preserve">GB/T 6388  运输包装收发货标志 </w:t>
      </w:r>
    </w:p>
    <w:p>
      <w:pPr>
        <w:ind w:firstLine="560" w:firstLineChars="200"/>
        <w:rPr>
          <w:rFonts w:hint="eastAsia" w:ascii="宋体" w:hAnsi="宋体" w:eastAsia="宋体" w:cs="华文楷体"/>
          <w:sz w:val="28"/>
          <w:szCs w:val="28"/>
        </w:rPr>
      </w:pPr>
      <w:r>
        <w:rPr>
          <w:rFonts w:hint="eastAsia" w:ascii="宋体" w:hAnsi="宋体" w:eastAsia="宋体" w:cs="华文楷体"/>
          <w:sz w:val="28"/>
          <w:szCs w:val="28"/>
        </w:rPr>
        <w:t>GB/T 9237  制冷系统及热泵  安全与环境要求</w:t>
      </w:r>
    </w:p>
    <w:p>
      <w:pPr>
        <w:ind w:firstLine="560" w:firstLineChars="200"/>
        <w:rPr>
          <w:rFonts w:hint="eastAsia" w:ascii="宋体" w:hAnsi="宋体" w:eastAsia="宋体" w:cs="华文楷体"/>
          <w:sz w:val="28"/>
          <w:szCs w:val="28"/>
        </w:rPr>
      </w:pPr>
      <w:r>
        <w:rPr>
          <w:rFonts w:hint="eastAsia" w:ascii="宋体" w:hAnsi="宋体" w:eastAsia="宋体" w:cs="华文楷体"/>
          <w:sz w:val="28"/>
          <w:szCs w:val="28"/>
        </w:rPr>
        <w:t>GB/T 13306  标牌</w:t>
      </w:r>
    </w:p>
    <w:p>
      <w:pPr>
        <w:ind w:firstLine="560" w:firstLineChars="200"/>
        <w:rPr>
          <w:rFonts w:hint="eastAsia" w:ascii="宋体" w:hAnsi="宋体" w:eastAsia="宋体" w:cs="华文楷体"/>
          <w:sz w:val="28"/>
          <w:szCs w:val="28"/>
        </w:rPr>
      </w:pPr>
      <w:r>
        <w:rPr>
          <w:rFonts w:hint="eastAsia" w:ascii="宋体" w:hAnsi="宋体" w:eastAsia="宋体" w:cs="华文楷体"/>
          <w:sz w:val="28"/>
          <w:szCs w:val="28"/>
        </w:rPr>
        <w:t>GB/T 25127.1低环境温度空气源热泵（冷水）机组 第1部分：工业或商业用及类似用途的热泵（冷水）机组</w:t>
      </w:r>
    </w:p>
    <w:p>
      <w:pPr>
        <w:ind w:firstLine="560" w:firstLineChars="200"/>
        <w:rPr>
          <w:rFonts w:hint="eastAsia" w:ascii="宋体" w:hAnsi="宋体" w:eastAsia="宋体" w:cs="华文楷体"/>
          <w:sz w:val="28"/>
          <w:szCs w:val="28"/>
        </w:rPr>
      </w:pPr>
      <w:r>
        <w:rPr>
          <w:rFonts w:hint="eastAsia" w:ascii="宋体" w:hAnsi="宋体" w:eastAsia="宋体" w:cs="华文楷体"/>
          <w:sz w:val="28"/>
          <w:szCs w:val="28"/>
        </w:rPr>
        <w:t>GB/T 25127.2低环境温度空气源热泵（冷水）机组 第2部分：户用及类似用途的热泵（冷水）机组</w:t>
      </w:r>
    </w:p>
    <w:p>
      <w:pPr>
        <w:ind w:firstLine="560" w:firstLineChars="200"/>
        <w:rPr>
          <w:rFonts w:hint="eastAsia" w:ascii="宋体" w:hAnsi="宋体" w:eastAsia="宋体" w:cs="华文楷体"/>
          <w:sz w:val="28"/>
          <w:szCs w:val="28"/>
        </w:rPr>
      </w:pPr>
      <w:r>
        <w:rPr>
          <w:rFonts w:hint="eastAsia" w:ascii="宋体" w:hAnsi="宋体" w:eastAsia="宋体" w:cs="华文楷体"/>
          <w:sz w:val="28"/>
          <w:szCs w:val="28"/>
        </w:rPr>
        <w:t>JB/T 7249  制冷与空调设备  术语</w:t>
      </w:r>
    </w:p>
    <w:p>
      <w:pPr>
        <w:ind w:firstLine="560" w:firstLineChars="200"/>
        <w:rPr>
          <w:rFonts w:hint="eastAsia" w:ascii="宋体" w:hAnsi="宋体" w:eastAsia="宋体" w:cs="华文楷体"/>
          <w:sz w:val="28"/>
          <w:szCs w:val="28"/>
        </w:rPr>
      </w:pPr>
      <w:r>
        <w:rPr>
          <w:rFonts w:hint="eastAsia" w:ascii="宋体" w:hAnsi="宋体" w:eastAsia="宋体" w:cs="华文楷体"/>
          <w:sz w:val="28"/>
          <w:szCs w:val="28"/>
        </w:rPr>
        <w:t>T/CAQP 015 T/ESF 0001 “领跑者”标准编制通则</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四、主要工作过程</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1、开展调研</w:t>
      </w:r>
    </w:p>
    <w:p>
      <w:pPr>
        <w:ind w:firstLine="560" w:firstLineChars="200"/>
        <w:rPr>
          <w:rFonts w:ascii="宋体" w:hAnsi="宋体" w:eastAsia="宋体" w:cs="华文楷体"/>
          <w:sz w:val="28"/>
          <w:szCs w:val="28"/>
        </w:rPr>
      </w:pPr>
      <w:r>
        <w:rPr>
          <w:rFonts w:hint="eastAsia" w:ascii="宋体" w:hAnsi="宋体" w:eastAsia="宋体" w:cs="华文楷体"/>
          <w:color w:val="000000" w:themeColor="text1"/>
          <w:sz w:val="28"/>
          <w:szCs w:val="28"/>
        </w:rPr>
        <w:t>20</w:t>
      </w:r>
      <w:r>
        <w:rPr>
          <w:rFonts w:hint="eastAsia" w:ascii="宋体" w:hAnsi="宋体" w:eastAsia="宋体" w:cs="华文楷体"/>
          <w:color w:val="000000" w:themeColor="text1"/>
          <w:sz w:val="28"/>
          <w:szCs w:val="28"/>
          <w:lang w:val="en-US" w:eastAsia="zh-CN"/>
        </w:rPr>
        <w:t>21</w:t>
      </w:r>
      <w:r>
        <w:rPr>
          <w:rFonts w:hint="eastAsia" w:ascii="宋体" w:hAnsi="宋体" w:eastAsia="宋体" w:cs="华文楷体"/>
          <w:color w:val="000000" w:themeColor="text1"/>
          <w:sz w:val="28"/>
          <w:szCs w:val="28"/>
        </w:rPr>
        <w:t>年</w:t>
      </w:r>
      <w:r>
        <w:rPr>
          <w:rFonts w:hint="eastAsia" w:ascii="宋体" w:hAnsi="宋体" w:eastAsia="宋体" w:cs="华文楷体"/>
          <w:color w:val="000000" w:themeColor="text1"/>
          <w:sz w:val="28"/>
          <w:szCs w:val="28"/>
          <w:lang w:val="en-US" w:eastAsia="zh-CN"/>
        </w:rPr>
        <w:t>2</w:t>
      </w:r>
      <w:r>
        <w:rPr>
          <w:rFonts w:hint="eastAsia" w:ascii="宋体" w:hAnsi="宋体" w:eastAsia="宋体" w:cs="华文楷体"/>
          <w:color w:val="000000" w:themeColor="text1"/>
          <w:sz w:val="28"/>
          <w:szCs w:val="28"/>
        </w:rPr>
        <w:t>月合肥</w:t>
      </w:r>
      <w:r>
        <w:rPr>
          <w:rFonts w:hint="eastAsia" w:ascii="宋体" w:hAnsi="宋体" w:eastAsia="宋体" w:cs="华文楷体"/>
          <w:sz w:val="28"/>
          <w:szCs w:val="28"/>
        </w:rPr>
        <w:t>通用机电产品检测院有限公司针对低环境温度空气源热泵（冷水）机组及企业标准开展相关调研。</w:t>
      </w:r>
    </w:p>
    <w:p>
      <w:pPr>
        <w:ind w:firstLine="560" w:firstLineChars="200"/>
        <w:rPr>
          <w:rFonts w:ascii="宋体" w:hAnsi="宋体" w:eastAsia="宋体" w:cs="华文楷体"/>
          <w:sz w:val="28"/>
          <w:szCs w:val="28"/>
        </w:rPr>
      </w:pPr>
      <w:r>
        <w:rPr>
          <w:rFonts w:hint="eastAsia" w:ascii="宋体" w:hAnsi="宋体" w:eastAsia="宋体" w:cs="华文楷体"/>
          <w:sz w:val="28"/>
          <w:szCs w:val="28"/>
        </w:rPr>
        <w:t>低环境温度空气源热泵机组可从大气环境中吸取低品位能量转化为高品位能量，用于供热供暖，与燃气或燃煤锅炉供热取暖相比，能源利用率高，环境污染小。同时，低温空气源热泵机组由于安装简便、灵活，环境适应性强，对使用地区基本不会产生污染，非常适用于广大冬季寒冷地区。如今，以燃煤为基础的供暖模式所带来的负面影响越来越不能适应社会可持续发展的要求，用低温空气源热泵机组这种使用清洁能源的采暖方式替代以燃煤燃气为主的采暖方式必将成为一种趋势。</w:t>
      </w:r>
    </w:p>
    <w:p>
      <w:pPr>
        <w:ind w:firstLine="560" w:firstLineChars="200"/>
        <w:rPr>
          <w:rFonts w:hint="eastAsia" w:ascii="宋体" w:hAnsi="宋体" w:eastAsia="宋体" w:cs="华文楷体"/>
          <w:sz w:val="28"/>
          <w:szCs w:val="28"/>
          <w:highlight w:val="yellow"/>
        </w:rPr>
      </w:pPr>
      <w:r>
        <w:rPr>
          <w:rFonts w:ascii="宋体" w:hAnsi="宋体" w:eastAsia="宋体" w:cs="华文楷体"/>
          <w:sz w:val="28"/>
          <w:szCs w:val="28"/>
        </w:rPr>
        <w:t>2016年北京市加快“煤改电”改造，朝阳、海淀、丰台、石景山、通州等地区410个行政村共计15万户将进行煤改电，2017年将实现城区无煤化，2020年实现全市平原地区采暖无煤化。北京地区“煤改电”的实施，将加快京津冀乃至整个北方地区 “煤改电”的步伐。</w:t>
      </w:r>
    </w:p>
    <w:p>
      <w:pPr>
        <w:ind w:firstLine="560" w:firstLineChars="200"/>
        <w:rPr>
          <w:rFonts w:ascii="宋体" w:hAnsi="宋体" w:eastAsia="宋体" w:cs="华文楷体"/>
          <w:sz w:val="28"/>
          <w:szCs w:val="28"/>
        </w:rPr>
      </w:pPr>
      <w:r>
        <w:rPr>
          <w:rFonts w:hint="eastAsia" w:ascii="宋体" w:hAnsi="宋体" w:eastAsia="宋体" w:cs="华文楷体"/>
          <w:sz w:val="28"/>
          <w:szCs w:val="28"/>
        </w:rPr>
        <w:t>这么大产量的产品，会引发一系列的健康舒适、安全和环保等问题，提高热泵的能效、降低环境污染、提高安全性以及如何提高热泵的舒适度成为了空调行业关注的重点。随着人们生活水平的提高和环保意识增强，目前执行的标准中的技术要求和指标已经很难满足民众对空调器的健康舒适、安全和环保的期望。</w:t>
      </w:r>
    </w:p>
    <w:p>
      <w:pPr>
        <w:ind w:firstLine="560" w:firstLineChars="200"/>
        <w:rPr>
          <w:rFonts w:ascii="宋体" w:hAnsi="宋体" w:eastAsia="宋体" w:cs="华文楷体"/>
          <w:sz w:val="28"/>
          <w:szCs w:val="28"/>
        </w:rPr>
      </w:pPr>
      <w:r>
        <w:rPr>
          <w:rFonts w:hint="eastAsia" w:ascii="宋体" w:hAnsi="宋体" w:eastAsia="宋体" w:cs="华文楷体"/>
          <w:sz w:val="28"/>
          <w:szCs w:val="28"/>
        </w:rPr>
        <w:t>而此时，企业标准的先进性显得尤为重要，因为产品的企业标准引导着企业的产品质量，规范和提高企业标准的技术要求从而提高低环境温度空气源热泵（冷水）机组的质量，以满足人们对低温（热泵）机组舒适度、安全性和环保的更高要求。</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2、成立标准起草组</w:t>
      </w:r>
    </w:p>
    <w:p>
      <w:pPr>
        <w:ind w:firstLine="560" w:firstLineChars="200"/>
        <w:rPr>
          <w:rFonts w:ascii="宋体" w:hAnsi="宋体" w:eastAsia="宋体" w:cs="华文楷体"/>
          <w:sz w:val="28"/>
          <w:szCs w:val="28"/>
        </w:rPr>
      </w:pPr>
      <w:r>
        <w:rPr>
          <w:rFonts w:hint="eastAsia" w:ascii="宋体" w:hAnsi="宋体" w:eastAsia="宋体" w:cs="华文楷体"/>
          <w:sz w:val="28"/>
          <w:szCs w:val="28"/>
        </w:rPr>
        <w:t>本标准的主要起草单位为合肥通用机电产品检测院有限公司。</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3、通过标准立项</w:t>
      </w:r>
    </w:p>
    <w:p>
      <w:pPr>
        <w:ind w:firstLine="560" w:firstLineChars="200"/>
        <w:rPr>
          <w:rFonts w:ascii="宋体" w:hAnsi="宋体" w:eastAsia="宋体" w:cs="华文楷体"/>
          <w:sz w:val="28"/>
          <w:szCs w:val="28"/>
        </w:rPr>
      </w:pPr>
      <w:r>
        <w:rPr>
          <w:rFonts w:hint="eastAsia" w:ascii="宋体" w:hAnsi="宋体" w:eastAsia="宋体" w:cs="华文楷体"/>
          <w:sz w:val="28"/>
          <w:szCs w:val="28"/>
        </w:rPr>
        <w:t>本标准由</w:t>
      </w:r>
      <w:r>
        <w:rPr>
          <w:rFonts w:hint="eastAsia" w:ascii="宋体" w:hAnsi="宋体" w:eastAsia="宋体" w:cs="华文楷体"/>
          <w:sz w:val="28"/>
          <w:szCs w:val="28"/>
          <w:lang w:val="en-US" w:eastAsia="zh-CN"/>
        </w:rPr>
        <w:t>中国制冷空调工业协会、中国节能协会</w:t>
      </w:r>
      <w:r>
        <w:rPr>
          <w:rFonts w:hint="eastAsia" w:ascii="宋体" w:hAnsi="宋体" w:eastAsia="宋体" w:cs="华文楷体"/>
          <w:sz w:val="28"/>
          <w:szCs w:val="28"/>
        </w:rPr>
        <w:t>归口，于2</w:t>
      </w:r>
      <w:r>
        <w:rPr>
          <w:rFonts w:ascii="宋体" w:hAnsi="宋体" w:eastAsia="宋体" w:cs="华文楷体"/>
          <w:sz w:val="28"/>
          <w:szCs w:val="28"/>
        </w:rPr>
        <w:t>021</w:t>
      </w:r>
      <w:r>
        <w:rPr>
          <w:rFonts w:hint="eastAsia" w:ascii="宋体" w:hAnsi="宋体" w:eastAsia="宋体" w:cs="华文楷体"/>
          <w:sz w:val="28"/>
          <w:szCs w:val="28"/>
        </w:rPr>
        <w:t>年</w:t>
      </w:r>
      <w:r>
        <w:rPr>
          <w:rFonts w:hint="eastAsia" w:ascii="宋体" w:hAnsi="宋体" w:eastAsia="宋体" w:cs="华文楷体"/>
          <w:sz w:val="28"/>
          <w:szCs w:val="28"/>
          <w:lang w:val="en-US" w:eastAsia="zh-CN"/>
        </w:rPr>
        <w:t>4</w:t>
      </w:r>
      <w:r>
        <w:rPr>
          <w:rFonts w:hint="eastAsia" w:ascii="宋体" w:hAnsi="宋体" w:eastAsia="宋体" w:cs="华文楷体"/>
          <w:sz w:val="28"/>
          <w:szCs w:val="28"/>
        </w:rPr>
        <w:t>月12日完成标准立项。</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4、行业专家研讨，形成征求意见稿</w:t>
      </w:r>
    </w:p>
    <w:p>
      <w:pPr>
        <w:ind w:firstLine="560" w:firstLineChars="200"/>
        <w:rPr>
          <w:rFonts w:hint="eastAsia" w:ascii="宋体" w:hAnsi="宋体" w:eastAsia="宋体" w:cs="华文楷体"/>
          <w:sz w:val="28"/>
          <w:szCs w:val="28"/>
        </w:rPr>
      </w:pPr>
      <w:r>
        <w:rPr>
          <w:rFonts w:hint="eastAsia" w:ascii="宋体" w:hAnsi="宋体" w:eastAsia="宋体" w:cs="华文楷体"/>
          <w:sz w:val="28"/>
          <w:szCs w:val="28"/>
        </w:rPr>
        <w:t>2021年</w:t>
      </w:r>
      <w:r>
        <w:rPr>
          <w:rFonts w:hint="eastAsia" w:ascii="宋体" w:hAnsi="宋体" w:eastAsia="宋体" w:cs="华文楷体"/>
          <w:sz w:val="28"/>
          <w:szCs w:val="28"/>
          <w:lang w:val="en-US" w:eastAsia="zh-CN"/>
        </w:rPr>
        <w:t>7</w:t>
      </w:r>
      <w:r>
        <w:rPr>
          <w:rFonts w:hint="eastAsia" w:ascii="宋体" w:hAnsi="宋体" w:eastAsia="宋体" w:cs="华文楷体"/>
          <w:sz w:val="28"/>
          <w:szCs w:val="28"/>
        </w:rPr>
        <w:t>月5日起，标准起草组经过多次讨论和专家咨询，进一步确定标准的主体内容，形成征求意见稿。</w:t>
      </w:r>
    </w:p>
    <w:p>
      <w:pPr>
        <w:rPr>
          <w:rFonts w:ascii="宋体" w:hAnsi="宋体" w:eastAsia="宋体" w:cs="华文楷体"/>
          <w:b/>
          <w:bCs/>
          <w:sz w:val="28"/>
          <w:szCs w:val="28"/>
        </w:rPr>
      </w:pPr>
      <w:r>
        <w:rPr>
          <w:rFonts w:hint="eastAsia" w:ascii="宋体" w:hAnsi="宋体" w:eastAsia="宋体" w:cs="华文楷体"/>
          <w:b/>
          <w:bCs/>
          <w:sz w:val="28"/>
          <w:szCs w:val="28"/>
        </w:rPr>
        <w:t>五、标准主要技术内容</w:t>
      </w:r>
    </w:p>
    <w:p>
      <w:pPr>
        <w:rPr>
          <w:rFonts w:ascii="宋体" w:hAnsi="宋体" w:eastAsia="宋体" w:cs="华文楷体"/>
          <w:b/>
          <w:bCs/>
          <w:sz w:val="28"/>
          <w:szCs w:val="28"/>
        </w:rPr>
      </w:pPr>
      <w:r>
        <w:rPr>
          <w:rFonts w:hint="eastAsia" w:ascii="宋体" w:hAnsi="宋体" w:eastAsia="宋体" w:cs="华文楷体"/>
          <w:b/>
          <w:bCs/>
          <w:sz w:val="28"/>
          <w:szCs w:val="28"/>
        </w:rPr>
        <w:t>1、基础部分（第一至三章）</w:t>
      </w:r>
    </w:p>
    <w:p>
      <w:pPr>
        <w:ind w:firstLine="560" w:firstLineChars="200"/>
        <w:rPr>
          <w:rFonts w:ascii="宋体" w:hAnsi="宋体" w:eastAsia="宋体" w:cs="华文楷体"/>
          <w:sz w:val="28"/>
          <w:szCs w:val="28"/>
        </w:rPr>
      </w:pPr>
      <w:r>
        <w:rPr>
          <w:rFonts w:hint="eastAsia" w:ascii="宋体" w:hAnsi="宋体" w:eastAsia="宋体" w:cs="华文楷体"/>
          <w:sz w:val="28"/>
          <w:szCs w:val="28"/>
        </w:rPr>
        <w:t>对标准的使用范围、所涉及规范性引用文件和术语定义进行规定。</w:t>
      </w:r>
    </w:p>
    <w:p>
      <w:pPr>
        <w:rPr>
          <w:rFonts w:ascii="宋体" w:hAnsi="宋体" w:eastAsia="宋体" w:cs="华文楷体"/>
          <w:b/>
          <w:bCs/>
          <w:sz w:val="28"/>
          <w:szCs w:val="28"/>
        </w:rPr>
      </w:pPr>
      <w:r>
        <w:rPr>
          <w:rFonts w:hint="eastAsia" w:ascii="宋体" w:hAnsi="宋体" w:eastAsia="宋体" w:cs="华文楷体"/>
          <w:b/>
          <w:bCs/>
          <w:sz w:val="28"/>
          <w:szCs w:val="28"/>
        </w:rPr>
        <w:t>2、评价指标体系（第四章）</w:t>
      </w:r>
    </w:p>
    <w:p>
      <w:pPr>
        <w:rPr>
          <w:rFonts w:ascii="宋体" w:hAnsi="宋体" w:eastAsia="宋体" w:cs="华文楷体"/>
          <w:sz w:val="28"/>
          <w:szCs w:val="28"/>
        </w:rPr>
      </w:pPr>
      <w:r>
        <w:rPr>
          <w:rFonts w:ascii="宋体" w:hAnsi="宋体" w:eastAsia="宋体" w:cs="华文楷体"/>
          <w:sz w:val="28"/>
          <w:szCs w:val="28"/>
        </w:rPr>
        <w:t xml:space="preserve">4.1 </w:t>
      </w:r>
      <w:r>
        <w:rPr>
          <w:rFonts w:hint="eastAsia" w:ascii="宋体" w:hAnsi="宋体" w:eastAsia="宋体" w:cs="华文楷体"/>
          <w:sz w:val="28"/>
          <w:szCs w:val="28"/>
        </w:rPr>
        <w:t>基本要求</w:t>
      </w:r>
    </w:p>
    <w:p>
      <w:pPr>
        <w:rPr>
          <w:rFonts w:hint="eastAsia" w:ascii="宋体" w:hAnsi="宋体" w:eastAsia="宋体" w:cs="华文楷体"/>
          <w:sz w:val="28"/>
          <w:szCs w:val="28"/>
        </w:rPr>
      </w:pPr>
      <w:r>
        <w:rPr>
          <w:rFonts w:hint="eastAsia" w:ascii="宋体" w:hAnsi="宋体" w:eastAsia="宋体" w:cs="华文楷体"/>
          <w:sz w:val="28"/>
          <w:szCs w:val="28"/>
        </w:rPr>
        <w:t>4.1.1 产品应符合明示执行标准及强制性国家标准的要求；</w:t>
      </w:r>
    </w:p>
    <w:p>
      <w:pPr>
        <w:rPr>
          <w:rFonts w:hint="eastAsia" w:ascii="宋体" w:hAnsi="宋体" w:eastAsia="宋体" w:cs="华文楷体"/>
          <w:sz w:val="28"/>
          <w:szCs w:val="28"/>
        </w:rPr>
      </w:pPr>
      <w:r>
        <w:rPr>
          <w:rFonts w:hint="eastAsia" w:ascii="宋体" w:hAnsi="宋体" w:eastAsia="宋体" w:cs="华文楷体"/>
          <w:sz w:val="28"/>
          <w:szCs w:val="28"/>
        </w:rPr>
        <w:t>4.1.2 近三年企业无较大环境、安全、质量事故；</w:t>
      </w:r>
    </w:p>
    <w:p>
      <w:pPr>
        <w:rPr>
          <w:rFonts w:hint="eastAsia" w:ascii="宋体" w:hAnsi="宋体" w:eastAsia="宋体" w:cs="华文楷体"/>
          <w:sz w:val="28"/>
          <w:szCs w:val="28"/>
        </w:rPr>
      </w:pPr>
      <w:r>
        <w:rPr>
          <w:rFonts w:hint="eastAsia" w:ascii="宋体" w:hAnsi="宋体" w:eastAsia="宋体" w:cs="华文楷体"/>
          <w:sz w:val="28"/>
          <w:szCs w:val="28"/>
        </w:rPr>
        <w:t>4.1.3 企业应未列入国家信用信息严重失信主体相关名录；</w:t>
      </w:r>
    </w:p>
    <w:p>
      <w:pPr>
        <w:rPr>
          <w:rFonts w:hint="eastAsia" w:ascii="宋体" w:hAnsi="宋体" w:eastAsia="宋体" w:cs="华文楷体"/>
          <w:sz w:val="28"/>
          <w:szCs w:val="28"/>
        </w:rPr>
      </w:pPr>
      <w:r>
        <w:rPr>
          <w:rFonts w:hint="eastAsia" w:ascii="宋体" w:hAnsi="宋体" w:eastAsia="宋体" w:cs="华文楷体"/>
          <w:sz w:val="28"/>
          <w:szCs w:val="28"/>
        </w:rPr>
        <w:t xml:space="preserve">4.1.4 企业可根据GB/T 19001、GB/T 24001、GB/T </w:t>
      </w:r>
      <w:r>
        <w:rPr>
          <w:rFonts w:hint="eastAsia" w:ascii="宋体" w:hAnsi="宋体" w:eastAsia="宋体" w:cs="华文楷体"/>
          <w:sz w:val="28"/>
          <w:szCs w:val="28"/>
          <w:lang w:eastAsia="zh-CN"/>
        </w:rPr>
        <w:t>4</w:t>
      </w:r>
      <w:r>
        <w:rPr>
          <w:rFonts w:hint="eastAsia" w:ascii="宋体" w:hAnsi="宋体" w:eastAsia="宋体" w:cs="华文楷体"/>
          <w:sz w:val="28"/>
          <w:szCs w:val="28"/>
          <w:lang w:val="en-US" w:eastAsia="zh-CN"/>
        </w:rPr>
        <w:t>5001</w:t>
      </w:r>
      <w:r>
        <w:rPr>
          <w:rFonts w:hint="eastAsia" w:ascii="宋体" w:hAnsi="宋体" w:eastAsia="宋体" w:cs="华文楷体"/>
          <w:sz w:val="28"/>
          <w:szCs w:val="28"/>
        </w:rPr>
        <w:t>建立并运行相应质量、环境、职业健康安全和能源管理体系，同时鼓励企业根据自身运营情况建立更高标准的相关管理体系；</w:t>
      </w:r>
    </w:p>
    <w:p>
      <w:pPr>
        <w:rPr>
          <w:rFonts w:ascii="宋体" w:hAnsi="宋体" w:eastAsia="宋体" w:cs="华文楷体"/>
          <w:sz w:val="28"/>
          <w:szCs w:val="28"/>
        </w:rPr>
      </w:pPr>
      <w:r>
        <w:rPr>
          <w:rFonts w:ascii="宋体" w:hAnsi="宋体" w:eastAsia="宋体" w:cs="华文楷体"/>
          <w:sz w:val="28"/>
          <w:szCs w:val="28"/>
        </w:rPr>
        <w:t>4.1.5 产品应为量产产品。</w:t>
      </w:r>
    </w:p>
    <w:p>
      <w:pPr>
        <w:rPr>
          <w:rFonts w:ascii="宋体" w:hAnsi="宋体" w:eastAsia="宋体" w:cs="华文楷体"/>
          <w:sz w:val="28"/>
          <w:szCs w:val="28"/>
        </w:rPr>
      </w:pPr>
      <w:r>
        <w:rPr>
          <w:rFonts w:ascii="宋体" w:hAnsi="宋体" w:eastAsia="宋体" w:cs="华文楷体"/>
          <w:sz w:val="28"/>
          <w:szCs w:val="28"/>
        </w:rPr>
        <w:t>4</w:t>
      </w:r>
      <w:r>
        <w:rPr>
          <w:rFonts w:hint="eastAsia" w:ascii="宋体" w:hAnsi="宋体" w:eastAsia="宋体" w:cs="华文楷体"/>
          <w:sz w:val="28"/>
          <w:szCs w:val="28"/>
        </w:rPr>
        <w:t>.</w:t>
      </w:r>
      <w:r>
        <w:rPr>
          <w:rFonts w:ascii="宋体" w:hAnsi="宋体" w:eastAsia="宋体" w:cs="华文楷体"/>
          <w:sz w:val="28"/>
          <w:szCs w:val="28"/>
        </w:rPr>
        <w:t>2</w:t>
      </w:r>
      <w:r>
        <w:rPr>
          <w:rFonts w:hint="eastAsia" w:ascii="宋体" w:hAnsi="宋体" w:eastAsia="宋体" w:cs="华文楷体"/>
          <w:sz w:val="28"/>
          <w:szCs w:val="28"/>
        </w:rPr>
        <w:t xml:space="preserve"> 评价指标分类</w:t>
      </w:r>
    </w:p>
    <w:p>
      <w:pPr>
        <w:rPr>
          <w:rFonts w:ascii="宋体" w:hAnsi="宋体" w:eastAsia="宋体" w:cs="华文楷体"/>
          <w:sz w:val="28"/>
          <w:szCs w:val="28"/>
        </w:rPr>
      </w:pPr>
      <w:r>
        <w:rPr>
          <w:rFonts w:ascii="宋体" w:hAnsi="宋体" w:eastAsia="宋体" w:cs="华文楷体"/>
          <w:sz w:val="28"/>
          <w:szCs w:val="28"/>
        </w:rPr>
        <w:t>4.2.1 低环境温度空气源热泵（冷水）机组“领跑者”标准中所包括的指标分为基础指标、核心指标和创新性指标。</w:t>
      </w:r>
    </w:p>
    <w:p>
      <w:pPr>
        <w:rPr>
          <w:rFonts w:ascii="宋体" w:hAnsi="宋体" w:eastAsia="宋体" w:cs="华文楷体"/>
          <w:sz w:val="28"/>
          <w:szCs w:val="28"/>
        </w:rPr>
      </w:pPr>
      <w:r>
        <w:rPr>
          <w:rFonts w:ascii="宋体" w:hAnsi="宋体" w:eastAsia="宋体" w:cs="华文楷体"/>
          <w:sz w:val="28"/>
          <w:szCs w:val="28"/>
        </w:rPr>
        <w:t>4.2.2 基础指标包括GB 25131、GB 37480、GB/T 25127.1、GB/T 25127.2涉及的相关指标；</w:t>
      </w:r>
    </w:p>
    <w:p>
      <w:pPr>
        <w:rPr>
          <w:rFonts w:ascii="宋体" w:hAnsi="宋体" w:eastAsia="宋体" w:cs="华文楷体"/>
          <w:sz w:val="28"/>
          <w:szCs w:val="28"/>
        </w:rPr>
      </w:pPr>
      <w:r>
        <w:rPr>
          <w:rFonts w:ascii="宋体" w:hAnsi="宋体" w:eastAsia="宋体" w:cs="华文楷体"/>
          <w:sz w:val="28"/>
          <w:szCs w:val="28"/>
        </w:rPr>
        <w:t>4.2.3 核心指标包括制热综合部分负荷性能系数（IPLV(H)）、制热性能系数COPh、制冷量、制冷消耗功率、热泵制热量、热泵制热消耗功率。</w:t>
      </w:r>
    </w:p>
    <w:p>
      <w:pPr>
        <w:rPr>
          <w:rFonts w:ascii="宋体" w:hAnsi="宋体" w:eastAsia="宋体" w:cs="华文楷体"/>
          <w:sz w:val="28"/>
          <w:szCs w:val="28"/>
        </w:rPr>
      </w:pPr>
      <w:r>
        <w:rPr>
          <w:rFonts w:ascii="宋体" w:hAnsi="宋体" w:eastAsia="宋体" w:cs="华文楷体"/>
          <w:sz w:val="28"/>
          <w:szCs w:val="28"/>
        </w:rPr>
        <w:t>4.2.4创新性指标为低温制热量，</w:t>
      </w:r>
      <w:r>
        <w:rPr>
          <w:rFonts w:hint="eastAsia" w:ascii="宋体" w:hAnsi="宋体" w:eastAsia="宋体" w:cs="华文楷体"/>
          <w:sz w:val="28"/>
          <w:szCs w:val="28"/>
        </w:rPr>
        <w:t>单位功能二氧化碳排放当量</w:t>
      </w:r>
      <w:r>
        <w:rPr>
          <w:rFonts w:ascii="宋体" w:hAnsi="宋体" w:eastAsia="宋体" w:cs="华文楷体"/>
          <w:sz w:val="28"/>
          <w:szCs w:val="28"/>
        </w:rPr>
        <w:t>鼓励企业研发强热高效机组。</w:t>
      </w:r>
    </w:p>
    <w:p>
      <w:pPr>
        <w:rPr>
          <w:rFonts w:ascii="宋体" w:hAnsi="宋体" w:eastAsia="宋体" w:cs="华文楷体"/>
          <w:sz w:val="28"/>
          <w:szCs w:val="28"/>
        </w:rPr>
      </w:pPr>
      <w:r>
        <w:rPr>
          <w:rFonts w:ascii="宋体" w:hAnsi="宋体" w:eastAsia="宋体" w:cs="华文楷体"/>
          <w:sz w:val="28"/>
          <w:szCs w:val="28"/>
        </w:rPr>
        <w:t>4.2.5核心指标分为先进水平、平均水平和基准水平共三个等级，先进水平相当于企业标准排行榜中5星级水平；平均水平相当于企业标准排行榜中4星级水平；基准水平相当于企业标准排行榜中3星级水平。</w:t>
      </w:r>
    </w:p>
    <w:p>
      <w:pPr>
        <w:rPr>
          <w:rFonts w:ascii="宋体" w:hAnsi="宋体" w:eastAsia="宋体" w:cs="华文楷体"/>
          <w:sz w:val="28"/>
          <w:szCs w:val="28"/>
        </w:rPr>
      </w:pPr>
      <w:r>
        <w:rPr>
          <w:rFonts w:hint="eastAsia" w:ascii="宋体" w:hAnsi="宋体" w:eastAsia="宋体" w:cs="华文楷体"/>
          <w:sz w:val="28"/>
          <w:szCs w:val="28"/>
        </w:rPr>
        <w:t>4.3  评价指标体系框架</w:t>
      </w:r>
    </w:p>
    <w:p>
      <w:pPr>
        <w:ind w:firstLine="560" w:firstLineChars="200"/>
        <w:rPr>
          <w:rFonts w:ascii="宋体" w:hAnsi="宋体" w:eastAsia="宋体" w:cs="华文楷体"/>
          <w:sz w:val="28"/>
          <w:szCs w:val="28"/>
        </w:rPr>
      </w:pPr>
      <w:r>
        <w:rPr>
          <w:rFonts w:hint="eastAsia" w:ascii="宋体" w:hAnsi="宋体" w:eastAsia="宋体" w:cs="华文楷体"/>
          <w:sz w:val="28"/>
          <w:szCs w:val="28"/>
        </w:rPr>
        <w:t>低环境温度空气源热泵（冷水）机组“领跑者”标准的评价指标体系见表1。</w:t>
      </w:r>
    </w:p>
    <w:p>
      <w:pPr>
        <w:widowControl/>
        <w:tabs>
          <w:tab w:val="center" w:pos="4201"/>
          <w:tab w:val="right" w:leader="dot" w:pos="9298"/>
        </w:tabs>
        <w:autoSpaceDE w:val="0"/>
        <w:autoSpaceDN w:val="0"/>
        <w:ind w:firstLine="420" w:firstLineChars="200"/>
        <w:jc w:val="center"/>
        <w:rPr>
          <w:rFonts w:ascii="黑体" w:hAnsi="黑体" w:eastAsia="黑体" w:cs="黑体"/>
          <w:kern w:val="0"/>
        </w:rPr>
      </w:pPr>
      <w:r>
        <w:rPr>
          <w:rFonts w:hint="eastAsia" w:ascii="黑体" w:hAnsi="黑体" w:eastAsia="黑体" w:cs="黑体"/>
          <w:kern w:val="0"/>
        </w:rPr>
        <w:t>表</w:t>
      </w:r>
      <w:r>
        <w:rPr>
          <w:rFonts w:ascii="黑体" w:hAnsi="黑体" w:eastAsia="黑体" w:cs="黑体"/>
          <w:kern w:val="0"/>
        </w:rPr>
        <w:t xml:space="preserve">1 </w:t>
      </w:r>
      <w:r>
        <w:rPr>
          <w:rFonts w:hint="eastAsia" w:ascii="黑体" w:hAnsi="黑体" w:eastAsia="黑体" w:cs="黑体"/>
          <w:kern w:val="0"/>
        </w:rPr>
        <w:t>评价指标体系框架</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022"/>
        <w:gridCol w:w="1371"/>
        <w:gridCol w:w="2246"/>
        <w:gridCol w:w="1204"/>
        <w:gridCol w:w="1178"/>
        <w:gridCol w:w="1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restart"/>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hint="eastAsia" w:ascii="宋体" w:hAnsi="Times New Roman"/>
                <w:kern w:val="0"/>
              </w:rPr>
              <w:t>序号</w:t>
            </w:r>
          </w:p>
        </w:tc>
        <w:tc>
          <w:tcPr>
            <w:tcW w:w="1057" w:type="dxa"/>
            <w:vMerge w:val="restart"/>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hint="eastAsia" w:ascii="宋体" w:hAnsi="Times New Roman"/>
                <w:kern w:val="0"/>
              </w:rPr>
              <w:t>指标类型</w:t>
            </w:r>
          </w:p>
        </w:tc>
        <w:tc>
          <w:tcPr>
            <w:tcW w:w="1371" w:type="dxa"/>
            <w:vMerge w:val="restart"/>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hint="eastAsia" w:ascii="宋体" w:hAnsi="Times New Roman"/>
                <w:kern w:val="0"/>
              </w:rPr>
              <w:t>评价指标</w:t>
            </w:r>
          </w:p>
        </w:tc>
        <w:tc>
          <w:tcPr>
            <w:tcW w:w="2321" w:type="dxa"/>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hint="eastAsia" w:ascii="宋体" w:hAnsi="Times New Roman"/>
                <w:kern w:val="0"/>
              </w:rPr>
              <w:t>指标来源</w:t>
            </w:r>
          </w:p>
        </w:tc>
        <w:tc>
          <w:tcPr>
            <w:tcW w:w="3545" w:type="dxa"/>
            <w:gridSpan w:val="3"/>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hint="eastAsia" w:ascii="宋体" w:hAnsi="Times New Roman"/>
                <w:kern w:val="0"/>
              </w:rPr>
              <w:t>指标水平分级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noWrap w:val="0"/>
            <w:vAlign w:val="center"/>
          </w:tcPr>
          <w:p>
            <w:pPr>
              <w:widowControl/>
              <w:tabs>
                <w:tab w:val="center" w:pos="4201"/>
                <w:tab w:val="right" w:leader="dot" w:pos="9298"/>
              </w:tabs>
              <w:autoSpaceDE w:val="0"/>
              <w:autoSpaceDN w:val="0"/>
              <w:jc w:val="center"/>
              <w:rPr>
                <w:rFonts w:ascii="黑体" w:hAnsi="黑体" w:eastAsia="黑体" w:cs="黑体"/>
                <w:kern w:val="0"/>
              </w:rPr>
            </w:pPr>
          </w:p>
        </w:tc>
        <w:tc>
          <w:tcPr>
            <w:tcW w:w="1057" w:type="dxa"/>
            <w:vMerge w:val="continue"/>
            <w:noWrap w:val="0"/>
            <w:vAlign w:val="center"/>
          </w:tcPr>
          <w:p>
            <w:pPr>
              <w:widowControl/>
              <w:tabs>
                <w:tab w:val="center" w:pos="4201"/>
                <w:tab w:val="right" w:leader="dot" w:pos="9298"/>
              </w:tabs>
              <w:autoSpaceDE w:val="0"/>
              <w:autoSpaceDN w:val="0"/>
              <w:jc w:val="center"/>
              <w:rPr>
                <w:rFonts w:ascii="黑体" w:hAnsi="黑体" w:eastAsia="黑体" w:cs="黑体"/>
                <w:kern w:val="0"/>
              </w:rPr>
            </w:pPr>
          </w:p>
        </w:tc>
        <w:tc>
          <w:tcPr>
            <w:tcW w:w="1371" w:type="dxa"/>
            <w:vMerge w:val="continue"/>
            <w:noWrap w:val="0"/>
            <w:vAlign w:val="center"/>
          </w:tcPr>
          <w:p>
            <w:pPr>
              <w:widowControl/>
              <w:tabs>
                <w:tab w:val="center" w:pos="4201"/>
                <w:tab w:val="right" w:leader="dot" w:pos="9298"/>
              </w:tabs>
              <w:autoSpaceDE w:val="0"/>
              <w:autoSpaceDN w:val="0"/>
              <w:jc w:val="center"/>
              <w:rPr>
                <w:rFonts w:ascii="黑体" w:hAnsi="黑体" w:eastAsia="黑体" w:cs="黑体"/>
                <w:kern w:val="0"/>
              </w:rPr>
            </w:pPr>
          </w:p>
        </w:tc>
        <w:tc>
          <w:tcPr>
            <w:tcW w:w="2321" w:type="dxa"/>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hint="eastAsia" w:ascii="黑体" w:hAnsi="黑体" w:eastAsia="黑体" w:cs="黑体"/>
                <w:kern w:val="0"/>
              </w:rPr>
              <w:t>（判断依据/方法）</w:t>
            </w:r>
          </w:p>
        </w:tc>
        <w:tc>
          <w:tcPr>
            <w:tcW w:w="1236" w:type="dxa"/>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hint="eastAsia" w:ascii="Times New Roman" w:hAnsi="Times New Roman"/>
              </w:rPr>
              <w:t>先进水平</w:t>
            </w:r>
          </w:p>
        </w:tc>
        <w:tc>
          <w:tcPr>
            <w:tcW w:w="1209" w:type="dxa"/>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hint="eastAsia" w:ascii="Times New Roman" w:hAnsi="Times New Roman"/>
              </w:rPr>
              <w:t>平均水平</w:t>
            </w:r>
          </w:p>
        </w:tc>
        <w:tc>
          <w:tcPr>
            <w:tcW w:w="1100" w:type="dxa"/>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hint="eastAsia" w:ascii="Times New Roman" w:hAnsi="Times New Roman"/>
              </w:rPr>
              <w:t>基准水平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restart"/>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hint="eastAsia" w:ascii="黑体" w:hAnsi="黑体" w:eastAsia="黑体" w:cs="黑体"/>
                <w:kern w:val="0"/>
              </w:rPr>
              <w:t>1</w:t>
            </w:r>
          </w:p>
        </w:tc>
        <w:tc>
          <w:tcPr>
            <w:tcW w:w="1057" w:type="dxa"/>
            <w:vMerge w:val="restart"/>
            <w:noWrap w:val="0"/>
            <w:vAlign w:val="center"/>
          </w:tcPr>
          <w:p>
            <w:pPr>
              <w:widowControl/>
              <w:tabs>
                <w:tab w:val="center" w:pos="4201"/>
                <w:tab w:val="right" w:leader="dot" w:pos="9298"/>
              </w:tabs>
              <w:autoSpaceDE w:val="0"/>
              <w:autoSpaceDN w:val="0"/>
              <w:jc w:val="center"/>
              <w:rPr>
                <w:rFonts w:ascii="宋体" w:hAnsi="宋体" w:cs="黑体"/>
                <w:kern w:val="0"/>
              </w:rPr>
            </w:pPr>
            <w:r>
              <w:rPr>
                <w:rFonts w:hint="eastAsia" w:ascii="宋体" w:hAnsi="宋体" w:cs="黑体"/>
                <w:kern w:val="0"/>
              </w:rPr>
              <w:t>基础指标</w:t>
            </w:r>
          </w:p>
        </w:tc>
        <w:tc>
          <w:tcPr>
            <w:tcW w:w="1371" w:type="dxa"/>
            <w:noWrap w:val="0"/>
            <w:vAlign w:val="center"/>
          </w:tcPr>
          <w:p>
            <w:pPr>
              <w:widowControl/>
              <w:tabs>
                <w:tab w:val="center" w:pos="4201"/>
                <w:tab w:val="right" w:leader="dot" w:pos="9298"/>
              </w:tabs>
              <w:autoSpaceDE w:val="0"/>
              <w:autoSpaceDN w:val="0"/>
              <w:jc w:val="center"/>
              <w:rPr>
                <w:rFonts w:ascii="宋体" w:hAnsi="宋体" w:cs="黑体"/>
                <w:kern w:val="0"/>
              </w:rPr>
            </w:pPr>
            <w:r>
              <w:rPr>
                <w:rFonts w:hint="eastAsia" w:ascii="宋体" w:hAnsi="宋体"/>
                <w:kern w:val="0"/>
              </w:rPr>
              <w:t>安全要求</w:t>
            </w:r>
          </w:p>
        </w:tc>
        <w:tc>
          <w:tcPr>
            <w:tcW w:w="2321" w:type="dxa"/>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ascii="宋体" w:hAnsi="Times New Roman"/>
                <w:kern w:val="0"/>
              </w:rPr>
              <w:t>GB 25131</w:t>
            </w:r>
          </w:p>
        </w:tc>
        <w:tc>
          <w:tcPr>
            <w:tcW w:w="3545" w:type="dxa"/>
            <w:gridSpan w:val="3"/>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hint="eastAsia" w:ascii="宋体" w:hAnsi="Times New Roman"/>
                <w:kern w:val="0"/>
              </w:rPr>
              <w:t>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noWrap w:val="0"/>
            <w:vAlign w:val="center"/>
          </w:tcPr>
          <w:p>
            <w:pPr>
              <w:widowControl/>
              <w:tabs>
                <w:tab w:val="center" w:pos="4201"/>
                <w:tab w:val="right" w:leader="dot" w:pos="9298"/>
              </w:tabs>
              <w:autoSpaceDE w:val="0"/>
              <w:autoSpaceDN w:val="0"/>
              <w:jc w:val="center"/>
              <w:rPr>
                <w:rFonts w:ascii="黑体" w:hAnsi="黑体" w:eastAsia="黑体" w:cs="黑体"/>
                <w:kern w:val="0"/>
              </w:rPr>
            </w:pPr>
          </w:p>
        </w:tc>
        <w:tc>
          <w:tcPr>
            <w:tcW w:w="1057" w:type="dxa"/>
            <w:vMerge w:val="continue"/>
            <w:noWrap w:val="0"/>
            <w:vAlign w:val="center"/>
          </w:tcPr>
          <w:p>
            <w:pPr>
              <w:widowControl/>
              <w:tabs>
                <w:tab w:val="center" w:pos="4201"/>
                <w:tab w:val="right" w:leader="dot" w:pos="9298"/>
              </w:tabs>
              <w:autoSpaceDE w:val="0"/>
              <w:autoSpaceDN w:val="0"/>
              <w:jc w:val="center"/>
              <w:rPr>
                <w:rFonts w:ascii="宋体" w:hAnsi="宋体" w:cs="黑体"/>
                <w:kern w:val="0"/>
              </w:rPr>
            </w:pPr>
          </w:p>
        </w:tc>
        <w:tc>
          <w:tcPr>
            <w:tcW w:w="1371" w:type="dxa"/>
            <w:noWrap w:val="0"/>
            <w:vAlign w:val="center"/>
          </w:tcPr>
          <w:p>
            <w:pPr>
              <w:widowControl/>
              <w:tabs>
                <w:tab w:val="center" w:pos="4201"/>
                <w:tab w:val="right" w:leader="dot" w:pos="9298"/>
              </w:tabs>
              <w:autoSpaceDE w:val="0"/>
              <w:autoSpaceDN w:val="0"/>
              <w:jc w:val="center"/>
              <w:rPr>
                <w:rFonts w:ascii="宋体" w:hAnsi="宋体" w:cs="黑体"/>
                <w:kern w:val="0"/>
              </w:rPr>
            </w:pPr>
            <w:r>
              <w:rPr>
                <w:rFonts w:hint="eastAsia" w:ascii="宋体" w:hAnsi="宋体"/>
                <w:kern w:val="0"/>
              </w:rPr>
              <w:t>性能要求（具体见附录</w:t>
            </w:r>
            <w:r>
              <w:rPr>
                <w:rFonts w:ascii="宋体" w:hAnsi="宋体"/>
                <w:kern w:val="0"/>
              </w:rPr>
              <w:t>A</w:t>
            </w:r>
            <w:r>
              <w:rPr>
                <w:rFonts w:hint="eastAsia" w:ascii="宋体" w:hAnsi="宋体"/>
                <w:kern w:val="0"/>
              </w:rPr>
              <w:t>）</w:t>
            </w:r>
          </w:p>
        </w:tc>
        <w:tc>
          <w:tcPr>
            <w:tcW w:w="2321" w:type="dxa"/>
            <w:noWrap w:val="0"/>
            <w:vAlign w:val="center"/>
          </w:tcPr>
          <w:p>
            <w:pPr>
              <w:widowControl/>
              <w:tabs>
                <w:tab w:val="center" w:pos="4201"/>
                <w:tab w:val="right" w:leader="dot" w:pos="9298"/>
              </w:tabs>
              <w:autoSpaceDE w:val="0"/>
              <w:autoSpaceDN w:val="0"/>
              <w:jc w:val="center"/>
              <w:rPr>
                <w:rFonts w:ascii="黑体" w:hAnsi="黑体" w:eastAsia="黑体" w:cs="黑体"/>
                <w:kern w:val="0"/>
              </w:rPr>
            </w:pPr>
            <w:bookmarkStart w:id="0" w:name="OLE_LINK1"/>
            <w:r>
              <w:rPr>
                <w:rFonts w:hint="eastAsia" w:ascii="宋体" w:hAnsi="宋体"/>
              </w:rPr>
              <w:t>GB 37480</w:t>
            </w:r>
            <w:bookmarkEnd w:id="0"/>
            <w:r>
              <w:rPr>
                <w:rFonts w:hint="eastAsia" w:ascii="宋体" w:hAnsi="宋体"/>
              </w:rPr>
              <w:t>、</w:t>
            </w:r>
            <w:r>
              <w:rPr>
                <w:rFonts w:ascii="宋体" w:hAnsi="Times New Roman"/>
                <w:kern w:val="0"/>
              </w:rPr>
              <w:t>GB/T 25127.1</w:t>
            </w:r>
            <w:r>
              <w:rPr>
                <w:rFonts w:hint="eastAsia" w:ascii="宋体" w:hAnsi="Times New Roman"/>
                <w:kern w:val="0"/>
              </w:rPr>
              <w:t>或</w:t>
            </w:r>
            <w:r>
              <w:rPr>
                <w:rFonts w:ascii="宋体" w:hAnsi="Times New Roman"/>
                <w:kern w:val="0"/>
              </w:rPr>
              <w:t>GB/T</w:t>
            </w:r>
            <w:r>
              <w:rPr>
                <w:rFonts w:hint="eastAsia" w:ascii="宋体" w:hAnsi="Times New Roman"/>
                <w:kern w:val="0"/>
              </w:rPr>
              <w:t xml:space="preserve"> 2</w:t>
            </w:r>
            <w:r>
              <w:rPr>
                <w:rFonts w:ascii="宋体" w:hAnsi="Times New Roman"/>
                <w:kern w:val="0"/>
              </w:rPr>
              <w:t>5127.2</w:t>
            </w:r>
          </w:p>
        </w:tc>
        <w:tc>
          <w:tcPr>
            <w:tcW w:w="3545" w:type="dxa"/>
            <w:gridSpan w:val="3"/>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hint="eastAsia" w:ascii="宋体" w:hAnsi="Times New Roman"/>
                <w:kern w:val="0"/>
              </w:rPr>
              <w:t>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restart"/>
            <w:noWrap w:val="0"/>
            <w:vAlign w:val="center"/>
          </w:tcPr>
          <w:p>
            <w:pPr>
              <w:tabs>
                <w:tab w:val="center" w:pos="4201"/>
                <w:tab w:val="right" w:leader="dot" w:pos="9298"/>
              </w:tabs>
              <w:autoSpaceDE w:val="0"/>
              <w:autoSpaceDN w:val="0"/>
              <w:jc w:val="center"/>
              <w:rPr>
                <w:rFonts w:hint="eastAsia" w:ascii="黑体" w:hAnsi="黑体" w:eastAsia="黑体" w:cs="黑体"/>
                <w:kern w:val="0"/>
              </w:rPr>
            </w:pPr>
            <w:r>
              <w:rPr>
                <w:rFonts w:ascii="黑体" w:hAnsi="黑体" w:eastAsia="黑体" w:cs="黑体"/>
                <w:kern w:val="0"/>
              </w:rPr>
              <w:t>2</w:t>
            </w:r>
          </w:p>
        </w:tc>
        <w:tc>
          <w:tcPr>
            <w:tcW w:w="1057" w:type="dxa"/>
            <w:vMerge w:val="restart"/>
            <w:noWrap w:val="0"/>
            <w:vAlign w:val="center"/>
          </w:tcPr>
          <w:p>
            <w:pPr>
              <w:tabs>
                <w:tab w:val="center" w:pos="4201"/>
                <w:tab w:val="right" w:leader="dot" w:pos="9298"/>
              </w:tabs>
              <w:autoSpaceDE w:val="0"/>
              <w:autoSpaceDN w:val="0"/>
              <w:jc w:val="center"/>
              <w:rPr>
                <w:rFonts w:hint="eastAsia" w:ascii="宋体" w:hAnsi="宋体" w:cs="黑体"/>
                <w:kern w:val="0"/>
              </w:rPr>
            </w:pPr>
            <w:r>
              <w:rPr>
                <w:rFonts w:hint="eastAsia" w:ascii="宋体" w:hAnsi="宋体" w:cs="黑体"/>
                <w:kern w:val="0"/>
              </w:rPr>
              <w:t>核心指标</w:t>
            </w:r>
          </w:p>
        </w:tc>
        <w:tc>
          <w:tcPr>
            <w:tcW w:w="1371" w:type="dxa"/>
            <w:noWrap w:val="0"/>
            <w:vAlign w:val="center"/>
          </w:tcPr>
          <w:p>
            <w:pPr>
              <w:widowControl/>
              <w:tabs>
                <w:tab w:val="center" w:pos="4201"/>
                <w:tab w:val="right" w:leader="dot" w:pos="9298"/>
              </w:tabs>
              <w:autoSpaceDE w:val="0"/>
              <w:autoSpaceDN w:val="0"/>
              <w:jc w:val="center"/>
              <w:rPr>
                <w:rFonts w:hint="eastAsia" w:ascii="宋体" w:hAnsi="宋体"/>
                <w:kern w:val="0"/>
              </w:rPr>
            </w:pPr>
            <w:r>
              <w:rPr>
                <w:rFonts w:hint="eastAsia" w:ascii="宋体" w:hAnsi="宋体"/>
                <w:kern w:val="0"/>
              </w:rPr>
              <w:t>制热综合部分负荷性能系数（IPLV(H)）</w:t>
            </w:r>
          </w:p>
        </w:tc>
        <w:tc>
          <w:tcPr>
            <w:tcW w:w="2321" w:type="dxa"/>
            <w:noWrap w:val="0"/>
            <w:vAlign w:val="center"/>
          </w:tcPr>
          <w:p>
            <w:pPr>
              <w:widowControl/>
              <w:tabs>
                <w:tab w:val="center" w:pos="4201"/>
                <w:tab w:val="right" w:leader="dot" w:pos="9298"/>
              </w:tabs>
              <w:autoSpaceDE w:val="0"/>
              <w:autoSpaceDN w:val="0"/>
              <w:jc w:val="center"/>
              <w:rPr>
                <w:rFonts w:hint="eastAsia" w:ascii="宋体" w:hAnsi="Times New Roman"/>
                <w:kern w:val="0"/>
              </w:rPr>
            </w:pPr>
            <w:r>
              <w:rPr>
                <w:rFonts w:ascii="宋体" w:hAnsi="Times New Roman"/>
                <w:kern w:val="0"/>
              </w:rPr>
              <w:t>GB 37480</w:t>
            </w:r>
          </w:p>
        </w:tc>
        <w:tc>
          <w:tcPr>
            <w:tcW w:w="1236" w:type="dxa"/>
            <w:noWrap w:val="0"/>
            <w:vAlign w:val="top"/>
          </w:tcPr>
          <w:p>
            <w:pPr>
              <w:widowControl/>
              <w:tabs>
                <w:tab w:val="center" w:pos="4201"/>
                <w:tab w:val="right" w:leader="dot" w:pos="9298"/>
              </w:tabs>
              <w:autoSpaceDE w:val="0"/>
              <w:autoSpaceDN w:val="0"/>
              <w:jc w:val="center"/>
              <w:rPr>
                <w:rFonts w:hint="eastAsia" w:ascii="宋体" w:hAnsi="宋体" w:cs="宋体"/>
                <w:kern w:val="0"/>
                <w:szCs w:val="18"/>
              </w:rPr>
            </w:pPr>
            <w:r>
              <w:rPr>
                <w:rFonts w:hint="eastAsia"/>
              </w:rPr>
              <w:t>标称值和实测值均满足等级1级要求且实测值≥标称值的95%</w:t>
            </w:r>
          </w:p>
        </w:tc>
        <w:tc>
          <w:tcPr>
            <w:tcW w:w="1209" w:type="dxa"/>
            <w:noWrap w:val="0"/>
            <w:vAlign w:val="top"/>
          </w:tcPr>
          <w:p>
            <w:pPr>
              <w:widowControl/>
              <w:tabs>
                <w:tab w:val="center" w:pos="4201"/>
                <w:tab w:val="right" w:leader="dot" w:pos="9298"/>
              </w:tabs>
              <w:autoSpaceDE w:val="0"/>
              <w:autoSpaceDN w:val="0"/>
              <w:jc w:val="center"/>
              <w:rPr>
                <w:rFonts w:hint="eastAsia" w:ascii="宋体" w:hAnsi="宋体" w:cs="宋体"/>
                <w:kern w:val="0"/>
                <w:szCs w:val="18"/>
              </w:rPr>
            </w:pPr>
            <w:r>
              <w:rPr>
                <w:rFonts w:hint="eastAsia"/>
              </w:rPr>
              <w:t>标称值和实测值均满足等级2级要求且实测值≥标称值的95%</w:t>
            </w:r>
          </w:p>
        </w:tc>
        <w:tc>
          <w:tcPr>
            <w:tcW w:w="1100" w:type="dxa"/>
            <w:noWrap w:val="0"/>
            <w:vAlign w:val="top"/>
          </w:tcPr>
          <w:p>
            <w:pPr>
              <w:widowControl/>
              <w:tabs>
                <w:tab w:val="center" w:pos="4201"/>
                <w:tab w:val="right" w:leader="dot" w:pos="9298"/>
              </w:tabs>
              <w:autoSpaceDE w:val="0"/>
              <w:autoSpaceDN w:val="0"/>
              <w:jc w:val="center"/>
              <w:rPr>
                <w:rFonts w:hint="eastAsia" w:ascii="宋体" w:hAnsi="宋体" w:cs="宋体"/>
                <w:kern w:val="0"/>
                <w:szCs w:val="18"/>
              </w:rPr>
            </w:pPr>
            <w:r>
              <w:rPr>
                <w:rFonts w:hint="eastAsia"/>
              </w:rPr>
              <w:t>标称值和实测值均满足等级3级要求且实测值≥标称值的95%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noWrap w:val="0"/>
            <w:vAlign w:val="center"/>
          </w:tcPr>
          <w:p>
            <w:pPr>
              <w:tabs>
                <w:tab w:val="center" w:pos="4201"/>
                <w:tab w:val="right" w:leader="dot" w:pos="9298"/>
              </w:tabs>
              <w:autoSpaceDE w:val="0"/>
              <w:autoSpaceDN w:val="0"/>
              <w:jc w:val="center"/>
              <w:rPr>
                <w:rFonts w:ascii="黑体" w:hAnsi="黑体" w:eastAsia="黑体" w:cs="黑体"/>
                <w:kern w:val="0"/>
              </w:rPr>
            </w:pPr>
          </w:p>
        </w:tc>
        <w:tc>
          <w:tcPr>
            <w:tcW w:w="1057" w:type="dxa"/>
            <w:vMerge w:val="continue"/>
            <w:noWrap w:val="0"/>
            <w:vAlign w:val="center"/>
          </w:tcPr>
          <w:p>
            <w:pPr>
              <w:tabs>
                <w:tab w:val="center" w:pos="4201"/>
                <w:tab w:val="right" w:leader="dot" w:pos="9298"/>
              </w:tabs>
              <w:autoSpaceDE w:val="0"/>
              <w:autoSpaceDN w:val="0"/>
              <w:jc w:val="center"/>
              <w:rPr>
                <w:rFonts w:hint="eastAsia" w:ascii="宋体" w:hAnsi="宋体" w:cs="黑体"/>
                <w:kern w:val="0"/>
              </w:rPr>
            </w:pPr>
          </w:p>
        </w:tc>
        <w:tc>
          <w:tcPr>
            <w:tcW w:w="1371" w:type="dxa"/>
            <w:noWrap w:val="0"/>
            <w:vAlign w:val="center"/>
          </w:tcPr>
          <w:p>
            <w:pPr>
              <w:widowControl/>
              <w:tabs>
                <w:tab w:val="center" w:pos="4201"/>
                <w:tab w:val="right" w:leader="dot" w:pos="9298"/>
              </w:tabs>
              <w:autoSpaceDE w:val="0"/>
              <w:autoSpaceDN w:val="0"/>
              <w:jc w:val="center"/>
              <w:rPr>
                <w:rFonts w:hint="eastAsia" w:ascii="宋体" w:hAnsi="宋体"/>
                <w:kern w:val="0"/>
              </w:rPr>
            </w:pPr>
            <w:r>
              <w:rPr>
                <w:rFonts w:hint="eastAsia" w:ascii="宋体" w:hAnsi="宋体"/>
                <w:kern w:val="0"/>
              </w:rPr>
              <w:t>制热性能系数COP</w:t>
            </w:r>
            <w:r>
              <w:rPr>
                <w:rFonts w:hint="eastAsia" w:ascii="宋体" w:hAnsi="宋体"/>
                <w:kern w:val="0"/>
                <w:vertAlign w:val="subscript"/>
              </w:rPr>
              <w:t>h</w:t>
            </w:r>
          </w:p>
        </w:tc>
        <w:tc>
          <w:tcPr>
            <w:tcW w:w="2321" w:type="dxa"/>
            <w:noWrap w:val="0"/>
            <w:vAlign w:val="center"/>
          </w:tcPr>
          <w:p>
            <w:pPr>
              <w:widowControl/>
              <w:tabs>
                <w:tab w:val="center" w:pos="4201"/>
                <w:tab w:val="right" w:leader="dot" w:pos="9298"/>
              </w:tabs>
              <w:autoSpaceDE w:val="0"/>
              <w:autoSpaceDN w:val="0"/>
              <w:jc w:val="center"/>
              <w:rPr>
                <w:rFonts w:hint="eastAsia" w:ascii="宋体" w:hAnsi="Times New Roman"/>
                <w:kern w:val="0"/>
              </w:rPr>
            </w:pPr>
            <w:r>
              <w:rPr>
                <w:rFonts w:ascii="宋体" w:hAnsi="Times New Roman"/>
                <w:kern w:val="0"/>
              </w:rPr>
              <w:t>GB 37480</w:t>
            </w:r>
          </w:p>
        </w:tc>
        <w:tc>
          <w:tcPr>
            <w:tcW w:w="1236" w:type="dxa"/>
            <w:noWrap w:val="0"/>
            <w:vAlign w:val="center"/>
          </w:tcPr>
          <w:p>
            <w:pPr>
              <w:widowControl/>
              <w:tabs>
                <w:tab w:val="center" w:pos="4201"/>
                <w:tab w:val="right" w:leader="dot" w:pos="9298"/>
              </w:tabs>
              <w:autoSpaceDE w:val="0"/>
              <w:autoSpaceDN w:val="0"/>
              <w:jc w:val="center"/>
              <w:rPr>
                <w:rFonts w:hint="eastAsia" w:ascii="宋体" w:hAnsi="宋体" w:cs="宋体"/>
                <w:kern w:val="0"/>
                <w:szCs w:val="18"/>
              </w:rPr>
            </w:pPr>
            <w:r>
              <w:rPr>
                <w:rFonts w:hint="eastAsia"/>
              </w:rPr>
              <w:t>标称值和实测值均满足等级3级要求且实测值≥标称值的</w:t>
            </w:r>
            <w:r>
              <w:t>100</w:t>
            </w:r>
            <w:r>
              <w:rPr>
                <w:rFonts w:hint="eastAsia"/>
              </w:rPr>
              <w:t>%</w:t>
            </w:r>
          </w:p>
        </w:tc>
        <w:tc>
          <w:tcPr>
            <w:tcW w:w="1209" w:type="dxa"/>
            <w:noWrap w:val="0"/>
            <w:vAlign w:val="center"/>
          </w:tcPr>
          <w:p>
            <w:pPr>
              <w:widowControl/>
              <w:tabs>
                <w:tab w:val="center" w:pos="4201"/>
                <w:tab w:val="right" w:leader="dot" w:pos="9298"/>
              </w:tabs>
              <w:autoSpaceDE w:val="0"/>
              <w:autoSpaceDN w:val="0"/>
              <w:jc w:val="center"/>
              <w:rPr>
                <w:rFonts w:hint="eastAsia" w:ascii="宋体" w:hAnsi="宋体" w:cs="宋体"/>
                <w:kern w:val="0"/>
                <w:szCs w:val="18"/>
              </w:rPr>
            </w:pPr>
            <w:r>
              <w:rPr>
                <w:rFonts w:hint="eastAsia"/>
              </w:rPr>
              <w:t>标称值和实测值均满足等级3级要求且实测值≥标称值的</w:t>
            </w:r>
            <w:r>
              <w:t>98</w:t>
            </w:r>
            <w:r>
              <w:rPr>
                <w:rFonts w:hint="eastAsia"/>
              </w:rPr>
              <w:t>%</w:t>
            </w:r>
          </w:p>
        </w:tc>
        <w:tc>
          <w:tcPr>
            <w:tcW w:w="1100" w:type="dxa"/>
            <w:noWrap w:val="0"/>
            <w:vAlign w:val="center"/>
          </w:tcPr>
          <w:p>
            <w:pPr>
              <w:widowControl/>
              <w:tabs>
                <w:tab w:val="center" w:pos="4201"/>
                <w:tab w:val="right" w:leader="dot" w:pos="9298"/>
              </w:tabs>
              <w:autoSpaceDE w:val="0"/>
              <w:autoSpaceDN w:val="0"/>
              <w:jc w:val="center"/>
              <w:rPr>
                <w:rFonts w:hint="eastAsia" w:ascii="宋体" w:hAnsi="宋体" w:cs="宋体"/>
                <w:kern w:val="0"/>
                <w:szCs w:val="18"/>
              </w:rPr>
            </w:pPr>
            <w:r>
              <w:rPr>
                <w:rFonts w:hint="eastAsia"/>
              </w:rPr>
              <w:t>标称值和实测值均满足等级3级要求且实测值≥标称值的95%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noWrap w:val="0"/>
            <w:vAlign w:val="center"/>
          </w:tcPr>
          <w:p>
            <w:pPr>
              <w:tabs>
                <w:tab w:val="center" w:pos="4201"/>
                <w:tab w:val="right" w:leader="dot" w:pos="9298"/>
              </w:tabs>
              <w:autoSpaceDE w:val="0"/>
              <w:autoSpaceDN w:val="0"/>
              <w:jc w:val="center"/>
              <w:rPr>
                <w:rFonts w:ascii="黑体" w:hAnsi="黑体" w:eastAsia="黑体" w:cs="黑体"/>
                <w:kern w:val="0"/>
              </w:rPr>
            </w:pPr>
          </w:p>
        </w:tc>
        <w:tc>
          <w:tcPr>
            <w:tcW w:w="1057" w:type="dxa"/>
            <w:vMerge w:val="continue"/>
            <w:noWrap w:val="0"/>
            <w:vAlign w:val="center"/>
          </w:tcPr>
          <w:p>
            <w:pPr>
              <w:tabs>
                <w:tab w:val="center" w:pos="4201"/>
                <w:tab w:val="right" w:leader="dot" w:pos="9298"/>
              </w:tabs>
              <w:autoSpaceDE w:val="0"/>
              <w:autoSpaceDN w:val="0"/>
              <w:jc w:val="center"/>
              <w:rPr>
                <w:rFonts w:hint="eastAsia" w:ascii="宋体" w:hAnsi="宋体" w:cs="黑体"/>
                <w:kern w:val="0"/>
              </w:rPr>
            </w:pPr>
          </w:p>
        </w:tc>
        <w:tc>
          <w:tcPr>
            <w:tcW w:w="1371" w:type="dxa"/>
            <w:noWrap w:val="0"/>
            <w:vAlign w:val="center"/>
          </w:tcPr>
          <w:p>
            <w:pPr>
              <w:widowControl/>
              <w:tabs>
                <w:tab w:val="center" w:pos="4201"/>
                <w:tab w:val="right" w:leader="dot" w:pos="9298"/>
              </w:tabs>
              <w:autoSpaceDE w:val="0"/>
              <w:autoSpaceDN w:val="0"/>
              <w:jc w:val="center"/>
              <w:rPr>
                <w:rFonts w:ascii="宋体" w:hAnsi="宋体"/>
                <w:kern w:val="0"/>
              </w:rPr>
            </w:pPr>
            <w:r>
              <w:rPr>
                <w:rFonts w:hint="eastAsia" w:ascii="宋体" w:hAnsi="宋体"/>
                <w:kern w:val="0"/>
              </w:rPr>
              <w:t>制冷量</w:t>
            </w:r>
          </w:p>
        </w:tc>
        <w:tc>
          <w:tcPr>
            <w:tcW w:w="2321" w:type="dxa"/>
            <w:noWrap w:val="0"/>
            <w:vAlign w:val="center"/>
          </w:tcPr>
          <w:p>
            <w:pPr>
              <w:widowControl/>
              <w:tabs>
                <w:tab w:val="center" w:pos="4201"/>
                <w:tab w:val="right" w:leader="dot" w:pos="9298"/>
              </w:tabs>
              <w:autoSpaceDE w:val="0"/>
              <w:autoSpaceDN w:val="0"/>
              <w:jc w:val="center"/>
              <w:rPr>
                <w:rFonts w:hint="eastAsia" w:ascii="宋体" w:hAnsi="Times New Roman"/>
                <w:kern w:val="0"/>
              </w:rPr>
            </w:pPr>
            <w:r>
              <w:rPr>
                <w:rFonts w:hint="eastAsia" w:ascii="宋体" w:hAnsi="Times New Roman"/>
                <w:kern w:val="0"/>
              </w:rPr>
              <w:t>GB/T 25127.1或GB/T 25127.2</w:t>
            </w:r>
          </w:p>
        </w:tc>
        <w:tc>
          <w:tcPr>
            <w:tcW w:w="1236" w:type="dxa"/>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hint="eastAsia" w:ascii="宋体" w:hAnsi="宋体" w:cs="宋体"/>
                <w:kern w:val="0"/>
                <w:szCs w:val="18"/>
              </w:rPr>
              <w:t>≥名义制冷量的100%</w:t>
            </w:r>
          </w:p>
        </w:tc>
        <w:tc>
          <w:tcPr>
            <w:tcW w:w="1209" w:type="dxa"/>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hint="eastAsia" w:ascii="宋体" w:hAnsi="宋体" w:cs="宋体"/>
                <w:kern w:val="0"/>
                <w:szCs w:val="18"/>
              </w:rPr>
              <w:t>≥名义制冷量的98%</w:t>
            </w:r>
          </w:p>
        </w:tc>
        <w:tc>
          <w:tcPr>
            <w:tcW w:w="1100" w:type="dxa"/>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hint="eastAsia" w:ascii="宋体" w:hAnsi="宋体" w:cs="宋体"/>
                <w:kern w:val="0"/>
                <w:szCs w:val="18"/>
              </w:rPr>
              <w:t>≥名义制冷量的95%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noWrap w:val="0"/>
            <w:vAlign w:val="center"/>
          </w:tcPr>
          <w:p>
            <w:pPr>
              <w:tabs>
                <w:tab w:val="center" w:pos="4201"/>
                <w:tab w:val="right" w:leader="dot" w:pos="9298"/>
              </w:tabs>
              <w:autoSpaceDE w:val="0"/>
              <w:autoSpaceDN w:val="0"/>
              <w:jc w:val="center"/>
              <w:rPr>
                <w:rFonts w:ascii="黑体" w:hAnsi="黑体" w:eastAsia="黑体" w:cs="黑体"/>
                <w:kern w:val="0"/>
              </w:rPr>
            </w:pPr>
          </w:p>
        </w:tc>
        <w:tc>
          <w:tcPr>
            <w:tcW w:w="1057" w:type="dxa"/>
            <w:vMerge w:val="continue"/>
            <w:noWrap w:val="0"/>
            <w:vAlign w:val="center"/>
          </w:tcPr>
          <w:p>
            <w:pPr>
              <w:tabs>
                <w:tab w:val="center" w:pos="4201"/>
                <w:tab w:val="right" w:leader="dot" w:pos="9298"/>
              </w:tabs>
              <w:autoSpaceDE w:val="0"/>
              <w:autoSpaceDN w:val="0"/>
              <w:jc w:val="center"/>
              <w:rPr>
                <w:rFonts w:ascii="宋体" w:hAnsi="宋体" w:cs="黑体"/>
                <w:kern w:val="0"/>
              </w:rPr>
            </w:pPr>
          </w:p>
        </w:tc>
        <w:tc>
          <w:tcPr>
            <w:tcW w:w="1371" w:type="dxa"/>
            <w:noWrap w:val="0"/>
            <w:vAlign w:val="center"/>
          </w:tcPr>
          <w:p>
            <w:pPr>
              <w:widowControl/>
              <w:tabs>
                <w:tab w:val="center" w:pos="4201"/>
                <w:tab w:val="right" w:leader="dot" w:pos="9298"/>
              </w:tabs>
              <w:autoSpaceDE w:val="0"/>
              <w:autoSpaceDN w:val="0"/>
              <w:jc w:val="center"/>
              <w:rPr>
                <w:rFonts w:ascii="宋体" w:hAnsi="宋体"/>
                <w:kern w:val="0"/>
              </w:rPr>
            </w:pPr>
            <w:r>
              <w:rPr>
                <w:rFonts w:hint="eastAsia" w:ascii="宋体" w:hAnsi="宋体"/>
                <w:kern w:val="0"/>
              </w:rPr>
              <w:t>制冷消耗功率</w:t>
            </w:r>
          </w:p>
        </w:tc>
        <w:tc>
          <w:tcPr>
            <w:tcW w:w="2321" w:type="dxa"/>
            <w:noWrap w:val="0"/>
            <w:vAlign w:val="center"/>
          </w:tcPr>
          <w:p>
            <w:pPr>
              <w:widowControl/>
              <w:tabs>
                <w:tab w:val="center" w:pos="4201"/>
                <w:tab w:val="right" w:leader="dot" w:pos="9298"/>
              </w:tabs>
              <w:autoSpaceDE w:val="0"/>
              <w:autoSpaceDN w:val="0"/>
              <w:jc w:val="center"/>
              <w:rPr>
                <w:rFonts w:hint="eastAsia" w:ascii="宋体" w:hAnsi="Times New Roman"/>
                <w:kern w:val="0"/>
              </w:rPr>
            </w:pPr>
            <w:r>
              <w:rPr>
                <w:rFonts w:hint="eastAsia" w:ascii="宋体" w:hAnsi="Times New Roman"/>
                <w:kern w:val="0"/>
              </w:rPr>
              <w:t>GB/T 25127.1或GB/T 25127.2</w:t>
            </w:r>
          </w:p>
        </w:tc>
        <w:tc>
          <w:tcPr>
            <w:tcW w:w="1236" w:type="dxa"/>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ascii="宋体" w:hAnsi="宋体" w:cs="宋体"/>
                <w:szCs w:val="18"/>
              </w:rPr>
              <w:t>≤</w:t>
            </w:r>
            <w:r>
              <w:rPr>
                <w:rFonts w:hint="eastAsia" w:ascii="宋体" w:hAnsi="宋体" w:cs="宋体"/>
                <w:kern w:val="0"/>
                <w:szCs w:val="18"/>
              </w:rPr>
              <w:t>名义</w:t>
            </w:r>
            <w:r>
              <w:rPr>
                <w:rFonts w:hint="eastAsia" w:ascii="宋体" w:hAnsi="宋体" w:cs="宋体"/>
                <w:szCs w:val="18"/>
              </w:rPr>
              <w:t>制冷消耗功率</w:t>
            </w:r>
            <w:r>
              <w:rPr>
                <w:rFonts w:hint="eastAsia" w:ascii="宋体" w:hAnsi="宋体" w:cs="宋体"/>
                <w:kern w:val="0"/>
                <w:szCs w:val="18"/>
              </w:rPr>
              <w:t>的100%</w:t>
            </w:r>
          </w:p>
        </w:tc>
        <w:tc>
          <w:tcPr>
            <w:tcW w:w="1209" w:type="dxa"/>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ascii="宋体" w:hAnsi="宋体" w:cs="宋体"/>
                <w:szCs w:val="18"/>
              </w:rPr>
              <w:t>≤</w:t>
            </w:r>
            <w:r>
              <w:rPr>
                <w:rFonts w:hint="eastAsia" w:ascii="宋体" w:hAnsi="宋体" w:cs="宋体"/>
                <w:kern w:val="0"/>
                <w:szCs w:val="18"/>
              </w:rPr>
              <w:t>名义</w:t>
            </w:r>
            <w:r>
              <w:rPr>
                <w:rFonts w:hint="eastAsia" w:ascii="宋体" w:hAnsi="宋体" w:cs="宋体"/>
                <w:szCs w:val="18"/>
              </w:rPr>
              <w:t>制冷消耗功率</w:t>
            </w:r>
            <w:r>
              <w:rPr>
                <w:rFonts w:hint="eastAsia" w:ascii="宋体" w:hAnsi="宋体" w:cs="宋体"/>
                <w:kern w:val="0"/>
                <w:szCs w:val="18"/>
              </w:rPr>
              <w:t>的105%</w:t>
            </w:r>
          </w:p>
        </w:tc>
        <w:tc>
          <w:tcPr>
            <w:tcW w:w="1100" w:type="dxa"/>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ascii="宋体" w:hAnsi="宋体" w:cs="宋体"/>
                <w:szCs w:val="18"/>
              </w:rPr>
              <w:t>≤</w:t>
            </w:r>
            <w:r>
              <w:rPr>
                <w:rFonts w:hint="eastAsia" w:ascii="宋体" w:hAnsi="宋体" w:cs="宋体"/>
                <w:kern w:val="0"/>
                <w:szCs w:val="18"/>
              </w:rPr>
              <w:t>名义</w:t>
            </w:r>
            <w:r>
              <w:rPr>
                <w:rFonts w:hint="eastAsia" w:ascii="宋体" w:hAnsi="宋体" w:cs="宋体"/>
                <w:szCs w:val="18"/>
              </w:rPr>
              <w:t>制冷消耗功率</w:t>
            </w:r>
            <w:r>
              <w:rPr>
                <w:rFonts w:hint="eastAsia" w:ascii="宋体" w:hAnsi="宋体" w:cs="宋体"/>
                <w:kern w:val="0"/>
                <w:szCs w:val="18"/>
              </w:rPr>
              <w:t>的110%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noWrap w:val="0"/>
            <w:vAlign w:val="center"/>
          </w:tcPr>
          <w:p>
            <w:pPr>
              <w:tabs>
                <w:tab w:val="center" w:pos="4201"/>
                <w:tab w:val="right" w:leader="dot" w:pos="9298"/>
              </w:tabs>
              <w:autoSpaceDE w:val="0"/>
              <w:autoSpaceDN w:val="0"/>
              <w:jc w:val="center"/>
              <w:rPr>
                <w:rFonts w:ascii="黑体" w:hAnsi="黑体" w:eastAsia="黑体" w:cs="黑体"/>
                <w:kern w:val="0"/>
              </w:rPr>
            </w:pPr>
          </w:p>
        </w:tc>
        <w:tc>
          <w:tcPr>
            <w:tcW w:w="1057" w:type="dxa"/>
            <w:vMerge w:val="continue"/>
            <w:noWrap w:val="0"/>
            <w:vAlign w:val="center"/>
          </w:tcPr>
          <w:p>
            <w:pPr>
              <w:tabs>
                <w:tab w:val="center" w:pos="4201"/>
                <w:tab w:val="right" w:leader="dot" w:pos="9298"/>
              </w:tabs>
              <w:autoSpaceDE w:val="0"/>
              <w:autoSpaceDN w:val="0"/>
              <w:jc w:val="center"/>
              <w:rPr>
                <w:rFonts w:ascii="宋体" w:hAnsi="宋体" w:cs="黑体"/>
                <w:kern w:val="0"/>
              </w:rPr>
            </w:pPr>
          </w:p>
        </w:tc>
        <w:tc>
          <w:tcPr>
            <w:tcW w:w="1371" w:type="dxa"/>
            <w:noWrap w:val="0"/>
            <w:vAlign w:val="center"/>
          </w:tcPr>
          <w:p>
            <w:pPr>
              <w:widowControl/>
              <w:tabs>
                <w:tab w:val="center" w:pos="4201"/>
                <w:tab w:val="right" w:leader="dot" w:pos="9298"/>
              </w:tabs>
              <w:autoSpaceDE w:val="0"/>
              <w:autoSpaceDN w:val="0"/>
              <w:jc w:val="center"/>
              <w:rPr>
                <w:rFonts w:ascii="宋体" w:hAnsi="宋体"/>
                <w:kern w:val="0"/>
              </w:rPr>
            </w:pPr>
            <w:r>
              <w:rPr>
                <w:rFonts w:hint="eastAsia" w:ascii="宋体" w:hAnsi="宋体"/>
                <w:kern w:val="0"/>
              </w:rPr>
              <w:t>制热量</w:t>
            </w:r>
          </w:p>
        </w:tc>
        <w:tc>
          <w:tcPr>
            <w:tcW w:w="2321" w:type="dxa"/>
            <w:noWrap w:val="0"/>
            <w:vAlign w:val="center"/>
          </w:tcPr>
          <w:p>
            <w:pPr>
              <w:widowControl/>
              <w:tabs>
                <w:tab w:val="center" w:pos="4201"/>
                <w:tab w:val="right" w:leader="dot" w:pos="9298"/>
              </w:tabs>
              <w:autoSpaceDE w:val="0"/>
              <w:autoSpaceDN w:val="0"/>
              <w:jc w:val="center"/>
              <w:rPr>
                <w:rFonts w:hint="eastAsia" w:ascii="宋体" w:hAnsi="Times New Roman"/>
                <w:kern w:val="0"/>
              </w:rPr>
            </w:pPr>
            <w:r>
              <w:rPr>
                <w:rFonts w:hint="eastAsia" w:ascii="宋体" w:hAnsi="Times New Roman"/>
                <w:kern w:val="0"/>
              </w:rPr>
              <w:t>GB/T 25127.1或GB/T 25127.2</w:t>
            </w:r>
          </w:p>
        </w:tc>
        <w:tc>
          <w:tcPr>
            <w:tcW w:w="1236" w:type="dxa"/>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hint="eastAsia" w:ascii="宋体" w:hAnsi="宋体" w:cs="宋体"/>
                <w:kern w:val="0"/>
                <w:szCs w:val="18"/>
              </w:rPr>
              <w:t>≥名义制热量的100%</w:t>
            </w:r>
          </w:p>
        </w:tc>
        <w:tc>
          <w:tcPr>
            <w:tcW w:w="1209" w:type="dxa"/>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hint="eastAsia" w:ascii="宋体" w:hAnsi="宋体" w:cs="宋体"/>
                <w:kern w:val="0"/>
                <w:szCs w:val="18"/>
              </w:rPr>
              <w:t>≥名义制热量的98%</w:t>
            </w:r>
          </w:p>
        </w:tc>
        <w:tc>
          <w:tcPr>
            <w:tcW w:w="1100" w:type="dxa"/>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hint="eastAsia" w:ascii="宋体" w:hAnsi="宋体" w:cs="宋体"/>
                <w:kern w:val="0"/>
                <w:szCs w:val="18"/>
              </w:rPr>
              <w:t>≥名义制热量的95%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noWrap w:val="0"/>
            <w:vAlign w:val="center"/>
          </w:tcPr>
          <w:p>
            <w:pPr>
              <w:widowControl/>
              <w:tabs>
                <w:tab w:val="center" w:pos="4201"/>
                <w:tab w:val="right" w:leader="dot" w:pos="9298"/>
              </w:tabs>
              <w:autoSpaceDE w:val="0"/>
              <w:autoSpaceDN w:val="0"/>
              <w:jc w:val="center"/>
              <w:rPr>
                <w:rFonts w:ascii="黑体" w:hAnsi="黑体" w:eastAsia="黑体" w:cs="黑体"/>
                <w:kern w:val="0"/>
              </w:rPr>
            </w:pPr>
          </w:p>
        </w:tc>
        <w:tc>
          <w:tcPr>
            <w:tcW w:w="1057" w:type="dxa"/>
            <w:vMerge w:val="continue"/>
            <w:noWrap w:val="0"/>
            <w:vAlign w:val="center"/>
          </w:tcPr>
          <w:p>
            <w:pPr>
              <w:widowControl/>
              <w:tabs>
                <w:tab w:val="center" w:pos="4201"/>
                <w:tab w:val="right" w:leader="dot" w:pos="9298"/>
              </w:tabs>
              <w:autoSpaceDE w:val="0"/>
              <w:autoSpaceDN w:val="0"/>
              <w:jc w:val="center"/>
              <w:rPr>
                <w:rFonts w:ascii="宋体" w:hAnsi="宋体" w:cs="黑体"/>
                <w:kern w:val="0"/>
              </w:rPr>
            </w:pPr>
          </w:p>
        </w:tc>
        <w:tc>
          <w:tcPr>
            <w:tcW w:w="1371" w:type="dxa"/>
            <w:noWrap w:val="0"/>
            <w:vAlign w:val="center"/>
          </w:tcPr>
          <w:p>
            <w:pPr>
              <w:widowControl/>
              <w:tabs>
                <w:tab w:val="center" w:pos="4201"/>
                <w:tab w:val="right" w:leader="dot" w:pos="9298"/>
              </w:tabs>
              <w:autoSpaceDE w:val="0"/>
              <w:autoSpaceDN w:val="0"/>
              <w:jc w:val="center"/>
              <w:rPr>
                <w:rFonts w:ascii="宋体" w:hAnsi="宋体"/>
                <w:kern w:val="0"/>
              </w:rPr>
            </w:pPr>
            <w:r>
              <w:rPr>
                <w:rFonts w:hint="eastAsia" w:ascii="宋体" w:hAnsi="宋体"/>
                <w:kern w:val="0"/>
              </w:rPr>
              <w:t>制热消耗功率</w:t>
            </w:r>
          </w:p>
        </w:tc>
        <w:tc>
          <w:tcPr>
            <w:tcW w:w="2321" w:type="dxa"/>
            <w:noWrap w:val="0"/>
            <w:vAlign w:val="center"/>
          </w:tcPr>
          <w:p>
            <w:pPr>
              <w:widowControl/>
              <w:tabs>
                <w:tab w:val="center" w:pos="4201"/>
                <w:tab w:val="right" w:leader="dot" w:pos="9298"/>
              </w:tabs>
              <w:autoSpaceDE w:val="0"/>
              <w:autoSpaceDN w:val="0"/>
              <w:jc w:val="center"/>
              <w:rPr>
                <w:rFonts w:hint="eastAsia" w:ascii="宋体" w:hAnsi="Times New Roman"/>
                <w:kern w:val="0"/>
              </w:rPr>
            </w:pPr>
            <w:r>
              <w:rPr>
                <w:rFonts w:hint="eastAsia" w:ascii="宋体" w:hAnsi="Times New Roman"/>
                <w:kern w:val="0"/>
              </w:rPr>
              <w:t>GB/T 25127.1或GB/T 25127.2</w:t>
            </w:r>
          </w:p>
        </w:tc>
        <w:tc>
          <w:tcPr>
            <w:tcW w:w="1236" w:type="dxa"/>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ascii="宋体" w:hAnsi="宋体" w:cs="宋体"/>
                <w:szCs w:val="18"/>
              </w:rPr>
              <w:t>≤</w:t>
            </w:r>
            <w:r>
              <w:rPr>
                <w:rFonts w:hint="eastAsia" w:ascii="宋体" w:hAnsi="宋体" w:cs="宋体"/>
                <w:kern w:val="0"/>
                <w:szCs w:val="18"/>
              </w:rPr>
              <w:t>名义热泵制热消耗</w:t>
            </w:r>
            <w:r>
              <w:rPr>
                <w:rFonts w:hint="eastAsia" w:ascii="宋体" w:hAnsi="宋体" w:cs="宋体"/>
                <w:szCs w:val="18"/>
              </w:rPr>
              <w:t>功率</w:t>
            </w:r>
            <w:r>
              <w:rPr>
                <w:rFonts w:hint="eastAsia" w:ascii="宋体" w:hAnsi="宋体" w:cs="宋体"/>
                <w:kern w:val="0"/>
                <w:szCs w:val="18"/>
              </w:rPr>
              <w:t>的100%</w:t>
            </w:r>
          </w:p>
        </w:tc>
        <w:tc>
          <w:tcPr>
            <w:tcW w:w="1209" w:type="dxa"/>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ascii="宋体" w:hAnsi="宋体" w:cs="宋体"/>
                <w:szCs w:val="18"/>
              </w:rPr>
              <w:t>≤</w:t>
            </w:r>
            <w:r>
              <w:rPr>
                <w:rFonts w:hint="eastAsia" w:ascii="宋体" w:hAnsi="宋体" w:cs="宋体"/>
                <w:kern w:val="0"/>
                <w:szCs w:val="18"/>
              </w:rPr>
              <w:t>名义热泵制热消耗的105%</w:t>
            </w:r>
          </w:p>
        </w:tc>
        <w:tc>
          <w:tcPr>
            <w:tcW w:w="1100" w:type="dxa"/>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ascii="宋体" w:hAnsi="宋体" w:cs="宋体"/>
                <w:szCs w:val="18"/>
              </w:rPr>
              <w:t>≤</w:t>
            </w:r>
            <w:r>
              <w:rPr>
                <w:rFonts w:hint="eastAsia" w:ascii="宋体" w:hAnsi="宋体" w:cs="宋体"/>
                <w:kern w:val="0"/>
                <w:szCs w:val="18"/>
              </w:rPr>
              <w:t>名义热泵制热消耗的110%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noWrap w:val="0"/>
            <w:vAlign w:val="center"/>
          </w:tcPr>
          <w:p>
            <w:pPr>
              <w:widowControl/>
              <w:tabs>
                <w:tab w:val="center" w:pos="4201"/>
                <w:tab w:val="right" w:leader="dot" w:pos="9298"/>
              </w:tabs>
              <w:autoSpaceDE w:val="0"/>
              <w:autoSpaceDN w:val="0"/>
              <w:jc w:val="center"/>
              <w:rPr>
                <w:rFonts w:ascii="黑体" w:hAnsi="黑体" w:eastAsia="黑体" w:cs="黑体"/>
                <w:kern w:val="0"/>
              </w:rPr>
            </w:pPr>
          </w:p>
        </w:tc>
        <w:tc>
          <w:tcPr>
            <w:tcW w:w="1057" w:type="dxa"/>
            <w:noWrap w:val="0"/>
            <w:vAlign w:val="center"/>
          </w:tcPr>
          <w:p>
            <w:pPr>
              <w:widowControl/>
              <w:tabs>
                <w:tab w:val="center" w:pos="4201"/>
                <w:tab w:val="right" w:leader="dot" w:pos="9298"/>
              </w:tabs>
              <w:autoSpaceDE w:val="0"/>
              <w:autoSpaceDN w:val="0"/>
              <w:jc w:val="center"/>
              <w:rPr>
                <w:rFonts w:ascii="宋体" w:hAnsi="宋体" w:cs="黑体"/>
                <w:kern w:val="0"/>
              </w:rPr>
            </w:pPr>
            <w:bookmarkStart w:id="3" w:name="_GoBack"/>
            <w:bookmarkEnd w:id="3"/>
          </w:p>
        </w:tc>
        <w:tc>
          <w:tcPr>
            <w:tcW w:w="1371" w:type="dxa"/>
            <w:noWrap w:val="0"/>
            <w:vAlign w:val="center"/>
          </w:tcPr>
          <w:p>
            <w:pPr>
              <w:widowControl/>
              <w:tabs>
                <w:tab w:val="center" w:pos="4201"/>
                <w:tab w:val="right" w:leader="dot" w:pos="9298"/>
              </w:tabs>
              <w:autoSpaceDE w:val="0"/>
              <w:autoSpaceDN w:val="0"/>
              <w:jc w:val="center"/>
              <w:rPr>
                <w:rFonts w:hint="eastAsia" w:ascii="宋体" w:hAnsi="宋体"/>
                <w:kern w:val="0"/>
              </w:rPr>
            </w:pPr>
            <w:r>
              <w:rPr>
                <w:rFonts w:hint="eastAsia" w:ascii="宋体" w:hAnsi="宋体"/>
                <w:kern w:val="0"/>
                <w:lang w:val="en-US" w:eastAsia="zh-CN"/>
              </w:rPr>
              <w:t>全年性能系数</w:t>
            </w:r>
          </w:p>
        </w:tc>
        <w:tc>
          <w:tcPr>
            <w:tcW w:w="2321" w:type="dxa"/>
            <w:noWrap w:val="0"/>
            <w:vAlign w:val="center"/>
          </w:tcPr>
          <w:p>
            <w:pPr>
              <w:widowControl/>
              <w:tabs>
                <w:tab w:val="center" w:pos="4201"/>
                <w:tab w:val="right" w:leader="dot" w:pos="9298"/>
              </w:tabs>
              <w:autoSpaceDE w:val="0"/>
              <w:autoSpaceDN w:val="0"/>
              <w:jc w:val="center"/>
              <w:rPr>
                <w:rFonts w:hint="eastAsia" w:ascii="宋体" w:hAnsi="Times New Roman"/>
                <w:kern w:val="0"/>
              </w:rPr>
            </w:pPr>
            <w:r>
              <w:rPr>
                <w:rFonts w:hint="eastAsia" w:ascii="宋体" w:hAnsi="Times New Roman"/>
                <w:kern w:val="0"/>
              </w:rPr>
              <w:t>GB/T 25127.1或GB/T 25127.2</w:t>
            </w:r>
          </w:p>
        </w:tc>
        <w:tc>
          <w:tcPr>
            <w:tcW w:w="1236" w:type="dxa"/>
            <w:noWrap w:val="0"/>
            <w:vAlign w:val="center"/>
          </w:tcPr>
          <w:p>
            <w:pPr>
              <w:widowControl/>
              <w:tabs>
                <w:tab w:val="center" w:pos="4201"/>
                <w:tab w:val="right" w:leader="dot" w:pos="9298"/>
              </w:tabs>
              <w:autoSpaceDE w:val="0"/>
              <w:autoSpaceDN w:val="0"/>
              <w:jc w:val="center"/>
              <w:rPr>
                <w:rFonts w:ascii="宋体" w:hAnsi="宋体" w:cs="宋体"/>
                <w:szCs w:val="18"/>
              </w:rPr>
            </w:pPr>
            <w:r>
              <w:rPr>
                <w:rFonts w:hint="eastAsia" w:ascii="宋体" w:hAnsi="宋体" w:cs="宋体"/>
                <w:szCs w:val="18"/>
                <w:lang w:val="en-US" w:eastAsia="zh-CN"/>
              </w:rPr>
              <w:t>标准规定值的120%</w:t>
            </w:r>
          </w:p>
        </w:tc>
        <w:tc>
          <w:tcPr>
            <w:tcW w:w="1209" w:type="dxa"/>
            <w:noWrap w:val="0"/>
            <w:vAlign w:val="center"/>
          </w:tcPr>
          <w:p>
            <w:pPr>
              <w:widowControl/>
              <w:tabs>
                <w:tab w:val="center" w:pos="4201"/>
                <w:tab w:val="right" w:leader="dot" w:pos="9298"/>
              </w:tabs>
              <w:autoSpaceDE w:val="0"/>
              <w:autoSpaceDN w:val="0"/>
              <w:jc w:val="center"/>
              <w:rPr>
                <w:rFonts w:ascii="宋体" w:hAnsi="宋体" w:cs="宋体"/>
                <w:szCs w:val="18"/>
              </w:rPr>
            </w:pPr>
            <w:r>
              <w:rPr>
                <w:rFonts w:hint="eastAsia" w:ascii="宋体" w:hAnsi="宋体" w:cs="宋体"/>
                <w:szCs w:val="18"/>
                <w:lang w:val="en-US" w:eastAsia="zh-CN"/>
              </w:rPr>
              <w:t>标准规定值的110%</w:t>
            </w:r>
          </w:p>
        </w:tc>
        <w:tc>
          <w:tcPr>
            <w:tcW w:w="1100" w:type="dxa"/>
            <w:noWrap w:val="0"/>
            <w:vAlign w:val="center"/>
          </w:tcPr>
          <w:p>
            <w:pPr>
              <w:widowControl/>
              <w:tabs>
                <w:tab w:val="center" w:pos="4201"/>
                <w:tab w:val="right" w:leader="dot" w:pos="9298"/>
              </w:tabs>
              <w:autoSpaceDE w:val="0"/>
              <w:autoSpaceDN w:val="0"/>
              <w:jc w:val="center"/>
              <w:rPr>
                <w:rFonts w:ascii="宋体" w:hAnsi="宋体" w:cs="宋体"/>
                <w:szCs w:val="18"/>
              </w:rPr>
            </w:pPr>
            <w:r>
              <w:rPr>
                <w:rFonts w:hint="eastAsia" w:ascii="宋体" w:hAnsi="宋体" w:cs="宋体"/>
                <w:szCs w:val="18"/>
                <w:lang w:val="en-US" w:eastAsia="zh-CN"/>
              </w:rPr>
              <w:t>符合标准的规定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restart"/>
            <w:noWrap w:val="0"/>
            <w:vAlign w:val="center"/>
          </w:tcPr>
          <w:p>
            <w:pPr>
              <w:tabs>
                <w:tab w:val="center" w:pos="4201"/>
                <w:tab w:val="right" w:leader="dot" w:pos="9298"/>
              </w:tabs>
              <w:autoSpaceDE w:val="0"/>
              <w:autoSpaceDN w:val="0"/>
              <w:jc w:val="center"/>
              <w:rPr>
                <w:rFonts w:ascii="黑体" w:hAnsi="黑体" w:eastAsia="黑体" w:cs="黑体"/>
                <w:kern w:val="0"/>
              </w:rPr>
            </w:pPr>
            <w:r>
              <w:rPr>
                <w:rFonts w:ascii="黑体" w:hAnsi="黑体" w:eastAsia="黑体" w:cs="黑体"/>
                <w:kern w:val="0"/>
              </w:rPr>
              <w:t>3</w:t>
            </w:r>
          </w:p>
        </w:tc>
        <w:tc>
          <w:tcPr>
            <w:tcW w:w="1057" w:type="dxa"/>
            <w:vMerge w:val="restart"/>
            <w:noWrap w:val="0"/>
            <w:vAlign w:val="center"/>
          </w:tcPr>
          <w:p>
            <w:pPr>
              <w:widowControl/>
              <w:tabs>
                <w:tab w:val="center" w:pos="4201"/>
                <w:tab w:val="right" w:leader="dot" w:pos="9298"/>
              </w:tabs>
              <w:autoSpaceDE w:val="0"/>
              <w:autoSpaceDN w:val="0"/>
              <w:jc w:val="center"/>
              <w:rPr>
                <w:rFonts w:ascii="宋体" w:hAnsi="宋体" w:cs="黑体"/>
                <w:kern w:val="0"/>
              </w:rPr>
            </w:pPr>
            <w:r>
              <w:rPr>
                <w:rFonts w:hint="eastAsia" w:ascii="宋体" w:hAnsi="宋体" w:cs="黑体"/>
                <w:kern w:val="0"/>
              </w:rPr>
              <w:t>创新指标</w:t>
            </w:r>
          </w:p>
        </w:tc>
        <w:tc>
          <w:tcPr>
            <w:tcW w:w="1371" w:type="dxa"/>
            <w:noWrap w:val="0"/>
            <w:vAlign w:val="center"/>
          </w:tcPr>
          <w:p>
            <w:pPr>
              <w:widowControl/>
              <w:tabs>
                <w:tab w:val="center" w:pos="4201"/>
                <w:tab w:val="right" w:leader="dot" w:pos="9298"/>
              </w:tabs>
              <w:autoSpaceDE w:val="0"/>
              <w:autoSpaceDN w:val="0"/>
              <w:jc w:val="center"/>
              <w:rPr>
                <w:rFonts w:ascii="宋体" w:hAnsi="宋体" w:cs="黑体"/>
                <w:kern w:val="0"/>
              </w:rPr>
            </w:pPr>
            <w:r>
              <w:rPr>
                <w:rFonts w:hint="eastAsia" w:ascii="宋体" w:hAnsi="宋体" w:cs="黑体"/>
                <w:kern w:val="0"/>
              </w:rPr>
              <w:t>低温制热量</w:t>
            </w:r>
          </w:p>
        </w:tc>
        <w:tc>
          <w:tcPr>
            <w:tcW w:w="2321" w:type="dxa"/>
            <w:noWrap w:val="0"/>
            <w:vAlign w:val="center"/>
          </w:tcPr>
          <w:p>
            <w:pPr>
              <w:widowControl/>
              <w:tabs>
                <w:tab w:val="center" w:pos="4201"/>
                <w:tab w:val="right" w:leader="dot" w:pos="9298"/>
              </w:tabs>
              <w:autoSpaceDE w:val="0"/>
              <w:autoSpaceDN w:val="0"/>
              <w:jc w:val="center"/>
              <w:rPr>
                <w:rFonts w:hint="eastAsia" w:ascii="宋体" w:hAnsi="Times New Roman"/>
                <w:kern w:val="0"/>
              </w:rPr>
            </w:pPr>
            <w:r>
              <w:rPr>
                <w:rFonts w:hint="eastAsia" w:ascii="宋体" w:hAnsi="Times New Roman"/>
                <w:kern w:val="0"/>
              </w:rPr>
              <w:t>GB/T 25127.1或GB/T 25127.2</w:t>
            </w:r>
          </w:p>
        </w:tc>
        <w:tc>
          <w:tcPr>
            <w:tcW w:w="1236" w:type="dxa"/>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hint="eastAsia" w:ascii="宋体" w:hAnsi="宋体" w:cs="宋体"/>
                <w:kern w:val="0"/>
                <w:szCs w:val="18"/>
              </w:rPr>
              <w:t>≥名义制热量的</w:t>
            </w:r>
            <w:r>
              <w:rPr>
                <w:rFonts w:ascii="宋体" w:hAnsi="宋体" w:cs="宋体"/>
                <w:kern w:val="0"/>
                <w:szCs w:val="18"/>
              </w:rPr>
              <w:t>100%</w:t>
            </w:r>
          </w:p>
        </w:tc>
        <w:tc>
          <w:tcPr>
            <w:tcW w:w="1209" w:type="dxa"/>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hint="eastAsia" w:ascii="宋体" w:hAnsi="宋体" w:cs="宋体"/>
                <w:kern w:val="0"/>
                <w:szCs w:val="18"/>
              </w:rPr>
              <w:t>≥名义制热量的</w:t>
            </w:r>
            <w:r>
              <w:rPr>
                <w:rFonts w:ascii="宋体" w:hAnsi="宋体" w:cs="宋体"/>
                <w:kern w:val="0"/>
                <w:szCs w:val="18"/>
              </w:rPr>
              <w:t>95%</w:t>
            </w:r>
          </w:p>
        </w:tc>
        <w:tc>
          <w:tcPr>
            <w:tcW w:w="1100" w:type="dxa"/>
            <w:noWrap w:val="0"/>
            <w:vAlign w:val="center"/>
          </w:tcPr>
          <w:p>
            <w:pPr>
              <w:widowControl/>
              <w:tabs>
                <w:tab w:val="center" w:pos="4201"/>
                <w:tab w:val="right" w:leader="dot" w:pos="9298"/>
              </w:tabs>
              <w:autoSpaceDE w:val="0"/>
              <w:autoSpaceDN w:val="0"/>
              <w:jc w:val="center"/>
              <w:rPr>
                <w:rFonts w:ascii="黑体" w:hAnsi="黑体" w:eastAsia="黑体" w:cs="黑体"/>
                <w:kern w:val="0"/>
              </w:rPr>
            </w:pPr>
            <w:r>
              <w:rPr>
                <w:rFonts w:hint="eastAsia" w:ascii="宋体" w:hAnsi="宋体" w:cs="宋体"/>
                <w:kern w:val="0"/>
                <w:szCs w:val="18"/>
              </w:rPr>
              <w:t>≥名义制热量的</w:t>
            </w:r>
            <w:r>
              <w:rPr>
                <w:rFonts w:ascii="宋体" w:hAnsi="宋体" w:cs="宋体"/>
                <w:kern w:val="0"/>
                <w:szCs w:val="18"/>
              </w:rPr>
              <w:t>90</w:t>
            </w:r>
            <w:r>
              <w:rPr>
                <w:rFonts w:hint="eastAsia" w:ascii="宋体" w:hAnsi="宋体" w:cs="宋体"/>
                <w:kern w:val="0"/>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noWrap w:val="0"/>
            <w:vAlign w:val="center"/>
          </w:tcPr>
          <w:p>
            <w:pPr>
              <w:widowControl/>
              <w:tabs>
                <w:tab w:val="center" w:pos="4201"/>
                <w:tab w:val="right" w:leader="dot" w:pos="9298"/>
              </w:tabs>
              <w:autoSpaceDE w:val="0"/>
              <w:autoSpaceDN w:val="0"/>
              <w:jc w:val="center"/>
              <w:rPr>
                <w:rFonts w:ascii="黑体" w:hAnsi="黑体" w:eastAsia="黑体" w:cs="黑体"/>
                <w:kern w:val="0"/>
              </w:rPr>
            </w:pPr>
          </w:p>
        </w:tc>
        <w:tc>
          <w:tcPr>
            <w:tcW w:w="1057" w:type="dxa"/>
            <w:vMerge w:val="continue"/>
            <w:noWrap w:val="0"/>
            <w:vAlign w:val="center"/>
          </w:tcPr>
          <w:p>
            <w:pPr>
              <w:widowControl/>
              <w:tabs>
                <w:tab w:val="center" w:pos="4201"/>
                <w:tab w:val="right" w:leader="dot" w:pos="9298"/>
              </w:tabs>
              <w:autoSpaceDE w:val="0"/>
              <w:autoSpaceDN w:val="0"/>
              <w:jc w:val="center"/>
              <w:rPr>
                <w:rFonts w:hint="eastAsia" w:ascii="宋体" w:hAnsi="宋体" w:cs="黑体"/>
                <w:kern w:val="0"/>
              </w:rPr>
            </w:pPr>
          </w:p>
        </w:tc>
        <w:tc>
          <w:tcPr>
            <w:tcW w:w="1371" w:type="dxa"/>
            <w:noWrap w:val="0"/>
            <w:vAlign w:val="center"/>
          </w:tcPr>
          <w:p>
            <w:pPr>
              <w:widowControl/>
              <w:tabs>
                <w:tab w:val="center" w:pos="4201"/>
                <w:tab w:val="right" w:leader="dot" w:pos="9298"/>
              </w:tabs>
              <w:autoSpaceDE w:val="0"/>
              <w:autoSpaceDN w:val="0"/>
              <w:jc w:val="center"/>
              <w:rPr>
                <w:rFonts w:hint="eastAsia" w:ascii="宋体" w:hAnsi="宋体"/>
                <w:kern w:val="0"/>
              </w:rPr>
            </w:pPr>
            <w:bookmarkStart w:id="1" w:name="OLE_LINK7"/>
            <w:r>
              <w:rPr>
                <w:rFonts w:hint="eastAsia" w:ascii="宋体" w:hAnsi="宋体" w:cs="宋体"/>
                <w:kern w:val="0"/>
                <w:szCs w:val="18"/>
              </w:rPr>
              <w:t>单位功能二氧化碳排放当量</w:t>
            </w:r>
            <w:bookmarkEnd w:id="1"/>
          </w:p>
        </w:tc>
        <w:tc>
          <w:tcPr>
            <w:tcW w:w="2321" w:type="dxa"/>
            <w:noWrap w:val="0"/>
            <w:vAlign w:val="center"/>
          </w:tcPr>
          <w:p>
            <w:pPr>
              <w:widowControl/>
              <w:tabs>
                <w:tab w:val="center" w:pos="4201"/>
                <w:tab w:val="right" w:leader="dot" w:pos="9298"/>
              </w:tabs>
              <w:autoSpaceDE w:val="0"/>
              <w:autoSpaceDN w:val="0"/>
              <w:jc w:val="center"/>
              <w:rPr>
                <w:rFonts w:hint="eastAsia" w:ascii="宋体" w:hAnsi="Times New Roman"/>
                <w:kern w:val="0"/>
              </w:rPr>
            </w:pPr>
            <w:r>
              <w:rPr>
                <w:rFonts w:hint="eastAsia" w:ascii="Times New Roman" w:hAnsi="Times New Roman"/>
                <w:kern w:val="0"/>
                <w:szCs w:val="18"/>
              </w:rPr>
              <w:t>附录</w:t>
            </w:r>
            <w:r>
              <w:rPr>
                <w:rFonts w:ascii="Times New Roman" w:hAnsi="Times New Roman"/>
                <w:kern w:val="0"/>
                <w:szCs w:val="18"/>
              </w:rPr>
              <w:t>B</w:t>
            </w:r>
          </w:p>
        </w:tc>
        <w:tc>
          <w:tcPr>
            <w:tcW w:w="3545" w:type="dxa"/>
            <w:gridSpan w:val="3"/>
            <w:noWrap w:val="0"/>
            <w:vAlign w:val="center"/>
          </w:tcPr>
          <w:p>
            <w:pPr>
              <w:widowControl/>
              <w:tabs>
                <w:tab w:val="center" w:pos="4201"/>
                <w:tab w:val="right" w:leader="dot" w:pos="9298"/>
              </w:tabs>
              <w:autoSpaceDE w:val="0"/>
              <w:autoSpaceDN w:val="0"/>
              <w:jc w:val="center"/>
              <w:rPr>
                <w:rFonts w:hint="eastAsia" w:ascii="宋体" w:hAnsi="宋体" w:cs="宋体"/>
                <w:kern w:val="0"/>
                <w:szCs w:val="18"/>
              </w:rPr>
            </w:pPr>
            <w:r>
              <w:rPr>
                <w:rFonts w:hint="eastAsia" w:ascii="Times New Roman" w:hAnsi="Times New Roman"/>
                <w:kern w:val="0"/>
                <w:szCs w:val="18"/>
              </w:rPr>
              <w:t>符合附录</w:t>
            </w:r>
            <w:r>
              <w:rPr>
                <w:rFonts w:ascii="Times New Roman" w:hAnsi="Times New Roman"/>
                <w:kern w:val="0"/>
                <w:szCs w:val="18"/>
              </w:rPr>
              <w:t>B</w:t>
            </w:r>
            <w:r>
              <w:rPr>
                <w:rFonts w:hint="eastAsia" w:ascii="Times New Roman" w:hAnsi="Times New Roman"/>
                <w:kern w:val="0"/>
                <w:szCs w:val="18"/>
              </w:rPr>
              <w:t>要求</w:t>
            </w:r>
          </w:p>
        </w:tc>
      </w:tr>
    </w:tbl>
    <w:p>
      <w:pPr>
        <w:widowControl/>
        <w:tabs>
          <w:tab w:val="center" w:pos="4201"/>
          <w:tab w:val="right" w:leader="dot" w:pos="9298"/>
        </w:tabs>
        <w:autoSpaceDE w:val="0"/>
        <w:autoSpaceDN w:val="0"/>
        <w:rPr>
          <w:rFonts w:ascii="黑体" w:hAnsi="黑体" w:eastAsia="黑体" w:cs="黑体"/>
          <w:kern w:val="0"/>
        </w:rPr>
      </w:pPr>
      <w:r>
        <w:rPr>
          <w:rFonts w:hint="eastAsia" w:ascii="黑体" w:hAnsi="黑体" w:eastAsia="黑体" w:cs="黑体"/>
          <w:kern w:val="0"/>
        </w:rPr>
        <w:t>注：</w:t>
      </w:r>
    </w:p>
    <w:p>
      <w:pPr>
        <w:widowControl/>
        <w:tabs>
          <w:tab w:val="center" w:pos="4201"/>
          <w:tab w:val="right" w:leader="dot" w:pos="9298"/>
        </w:tabs>
        <w:autoSpaceDE w:val="0"/>
        <w:autoSpaceDN w:val="0"/>
        <w:ind w:left="424" w:leftChars="68" w:hanging="281" w:hangingChars="134"/>
        <w:rPr>
          <w:rFonts w:ascii="黑体" w:hAnsi="黑体" w:eastAsia="黑体" w:cs="黑体"/>
          <w:kern w:val="0"/>
        </w:rPr>
      </w:pPr>
      <w:r>
        <w:rPr>
          <w:rFonts w:hint="eastAsia" w:ascii="黑体" w:hAnsi="黑体" w:eastAsia="黑体" w:cs="黑体"/>
          <w:kern w:val="0"/>
        </w:rPr>
        <w:t>1.创新指标低温制热量达到指标要求同时，其低温制热性能系数C</w:t>
      </w:r>
      <w:r>
        <w:rPr>
          <w:rFonts w:ascii="黑体" w:hAnsi="黑体" w:eastAsia="黑体" w:cs="黑体"/>
          <w:kern w:val="0"/>
        </w:rPr>
        <w:t>OP</w:t>
      </w:r>
      <w:r>
        <w:rPr>
          <w:rFonts w:hint="eastAsia" w:ascii="黑体" w:hAnsi="黑体" w:eastAsia="黑体" w:cs="黑体"/>
          <w:kern w:val="0"/>
          <w:vertAlign w:val="subscript"/>
        </w:rPr>
        <w:t>dh</w:t>
      </w:r>
      <w:r>
        <w:rPr>
          <w:rFonts w:hint="eastAsia" w:ascii="黑体" w:hAnsi="黑体" w:eastAsia="黑体" w:cs="黑体"/>
          <w:kern w:val="0"/>
        </w:rPr>
        <w:t>不得低于GB/T 25127.1或GB/T 25127.2表</w:t>
      </w:r>
      <w:r>
        <w:rPr>
          <w:rFonts w:ascii="黑体" w:hAnsi="黑体" w:eastAsia="黑体" w:cs="黑体"/>
          <w:kern w:val="0"/>
        </w:rPr>
        <w:t>2</w:t>
      </w:r>
      <w:r>
        <w:rPr>
          <w:rFonts w:hint="eastAsia" w:ascii="黑体" w:hAnsi="黑体" w:eastAsia="黑体" w:cs="黑体"/>
          <w:kern w:val="0"/>
        </w:rPr>
        <w:t>的规定。</w:t>
      </w:r>
    </w:p>
    <w:p>
      <w:pPr>
        <w:widowControl/>
        <w:tabs>
          <w:tab w:val="center" w:pos="4201"/>
          <w:tab w:val="right" w:leader="dot" w:pos="9298"/>
        </w:tabs>
        <w:autoSpaceDE w:val="0"/>
        <w:autoSpaceDN w:val="0"/>
        <w:ind w:left="424" w:leftChars="68" w:hanging="281" w:hangingChars="134"/>
        <w:rPr>
          <w:rFonts w:ascii="黑体" w:hAnsi="黑体" w:eastAsia="黑体" w:cs="黑体"/>
          <w:kern w:val="0"/>
        </w:rPr>
      </w:pPr>
      <w:r>
        <w:rPr>
          <w:rFonts w:ascii="黑体" w:hAnsi="黑体" w:eastAsia="黑体" w:cs="黑体"/>
          <w:kern w:val="0"/>
        </w:rPr>
        <w:t>2.</w:t>
      </w:r>
      <w:r>
        <w:rPr>
          <w:rFonts w:hint="eastAsia" w:ascii="黑体" w:hAnsi="黑体" w:eastAsia="黑体" w:cs="黑体"/>
          <w:kern w:val="0"/>
        </w:rPr>
        <w:t>创新型指标所指名义制热量为-</w:t>
      </w:r>
      <w:r>
        <w:rPr>
          <w:rFonts w:ascii="黑体" w:hAnsi="黑体" w:eastAsia="黑体" w:cs="黑体"/>
          <w:kern w:val="0"/>
        </w:rPr>
        <w:t>12</w:t>
      </w:r>
      <w:r>
        <w:rPr>
          <w:rFonts w:hint="eastAsia" w:ascii="黑体" w:hAnsi="黑体" w:eastAsia="黑体" w:cs="黑体"/>
          <w:kern w:val="0"/>
        </w:rPr>
        <w:t>℃制热量。</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3、评价方法（第五章）</w:t>
      </w:r>
    </w:p>
    <w:p>
      <w:pPr>
        <w:pStyle w:val="14"/>
        <w:spacing w:line="300" w:lineRule="auto"/>
        <w:ind w:firstLineChars="0"/>
        <w:jc w:val="left"/>
        <w:rPr>
          <w:rFonts w:hAnsi="宋体"/>
          <w:bCs/>
          <w:color w:val="000000"/>
          <w:sz w:val="28"/>
          <w:szCs w:val="28"/>
        </w:rPr>
      </w:pPr>
      <w:r>
        <w:rPr>
          <w:rFonts w:hAnsi="宋体" w:cstheme="majorEastAsia"/>
          <w:bCs/>
          <w:color w:val="000000" w:themeColor="text1"/>
          <w:sz w:val="28"/>
          <w:szCs w:val="28"/>
        </w:rPr>
        <w:t>评价结果划分为一级、二级和三级，各等级所对应的划分依据见表2。达到三级要求及以上的企业标准并按照有关要求进行自我声明公开后均可进入空调机企业标准排行榜。达到一级要求的企业标准，且按照有关要求进行自我声明公开后，其标准和符合标准的产品或服务可以直接进入低环境温度空气源热泵（冷水）机组企业标准“领跑者”候选名单。</w:t>
      </w:r>
    </w:p>
    <w:p>
      <w:pPr>
        <w:pStyle w:val="14"/>
        <w:spacing w:line="300" w:lineRule="auto"/>
        <w:ind w:firstLineChars="0"/>
        <w:jc w:val="center"/>
        <w:rPr>
          <w:rFonts w:ascii="黑体" w:hAnsi="黑体" w:eastAsia="黑体" w:cs="黑体"/>
          <w:bCs/>
          <w:color w:val="000000" w:themeColor="text1"/>
          <w:szCs w:val="21"/>
        </w:rPr>
      </w:pPr>
      <w:r>
        <w:rPr>
          <w:rFonts w:hint="eastAsia" w:ascii="黑体" w:hAnsi="黑体" w:eastAsia="黑体" w:cs="黑体"/>
          <w:bCs/>
          <w:color w:val="000000" w:themeColor="text1"/>
          <w:szCs w:val="21"/>
        </w:rPr>
        <w:t>表</w:t>
      </w:r>
      <w:r>
        <w:rPr>
          <w:rFonts w:ascii="Times New Roman" w:eastAsia="黑体"/>
          <w:bCs/>
          <w:color w:val="000000" w:themeColor="text1"/>
          <w:szCs w:val="21"/>
        </w:rPr>
        <w:t xml:space="preserve">2 </w:t>
      </w:r>
      <w:r>
        <w:rPr>
          <w:rFonts w:hint="eastAsia" w:ascii="黑体" w:hAnsi="黑体" w:eastAsia="黑体" w:cs="黑体"/>
          <w:bCs/>
          <w:color w:val="000000" w:themeColor="text1"/>
          <w:szCs w:val="21"/>
        </w:rPr>
        <w:t>指标评价要求等级划分</w:t>
      </w:r>
    </w:p>
    <w:tbl>
      <w:tblPr>
        <w:tblStyle w:val="6"/>
        <w:tblW w:w="5314"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633"/>
        <w:gridCol w:w="1633"/>
        <w:gridCol w:w="1633"/>
        <w:gridCol w:w="1633"/>
        <w:gridCol w:w="25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531" w:type="dxa"/>
            <w:vAlign w:val="center"/>
          </w:tcPr>
          <w:p>
            <w:pPr>
              <w:tabs>
                <w:tab w:val="center" w:pos="4201"/>
                <w:tab w:val="right" w:leader="dot" w:pos="9298"/>
              </w:tabs>
              <w:autoSpaceDE w:val="0"/>
              <w:autoSpaceDN w:val="0"/>
              <w:jc w:val="center"/>
              <w:rPr>
                <w:rFonts w:ascii="宋体" w:hAnsi="宋体" w:cs="宋体"/>
                <w:bCs/>
                <w:kern w:val="0"/>
              </w:rPr>
            </w:pPr>
            <w:bookmarkStart w:id="2" w:name="_Hlk35975549"/>
            <w:r>
              <w:rPr>
                <w:rFonts w:hint="eastAsia" w:ascii="宋体" w:hAnsi="宋体" w:cs="宋体"/>
                <w:bCs/>
                <w:kern w:val="0"/>
              </w:rPr>
              <w:t>评价等级</w:t>
            </w:r>
          </w:p>
        </w:tc>
        <w:tc>
          <w:tcPr>
            <w:tcW w:w="1531" w:type="dxa"/>
            <w:gridSpan w:val="4"/>
            <w:vAlign w:val="center"/>
          </w:tcPr>
          <w:p>
            <w:pPr>
              <w:tabs>
                <w:tab w:val="center" w:pos="4201"/>
                <w:tab w:val="right" w:leader="dot" w:pos="9298"/>
              </w:tabs>
              <w:autoSpaceDE w:val="0"/>
              <w:autoSpaceDN w:val="0"/>
              <w:jc w:val="center"/>
              <w:rPr>
                <w:rFonts w:ascii="宋体" w:hAnsi="宋体" w:cs="宋体"/>
                <w:bCs/>
                <w:kern w:val="0"/>
              </w:rPr>
            </w:pPr>
            <w:r>
              <w:rPr>
                <w:rFonts w:hint="eastAsia" w:ascii="宋体" w:hAnsi="宋体" w:cs="宋体"/>
                <w:bCs/>
                <w:kern w:val="0"/>
              </w:rPr>
              <w:t>满足条件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86" w:hRule="atLeast"/>
        </w:trPr>
        <w:tc>
          <w:tcPr>
            <w:tcW w:w="1531" w:type="dxa"/>
            <w:vAlign w:val="center"/>
          </w:tcPr>
          <w:p>
            <w:pPr>
              <w:tabs>
                <w:tab w:val="center" w:pos="4201"/>
                <w:tab w:val="right" w:leader="dot" w:pos="9298"/>
              </w:tabs>
              <w:autoSpaceDE w:val="0"/>
              <w:autoSpaceDN w:val="0"/>
              <w:jc w:val="center"/>
              <w:rPr>
                <w:rFonts w:ascii="宋体" w:hAnsi="宋体" w:cs="宋体"/>
                <w:bCs/>
                <w:kern w:val="0"/>
              </w:rPr>
            </w:pPr>
            <w:r>
              <w:rPr>
                <w:rFonts w:hint="eastAsia" w:ascii="宋体" w:hAnsi="宋体" w:cs="宋体"/>
                <w:bCs/>
                <w:kern w:val="0"/>
              </w:rPr>
              <w:t>一</w:t>
            </w:r>
            <w:r>
              <w:rPr>
                <w:rFonts w:ascii="宋体" w:hAnsi="宋体" w:cs="宋体"/>
                <w:bCs/>
                <w:kern w:val="0"/>
              </w:rPr>
              <w:t>级</w:t>
            </w:r>
            <w:r>
              <w:rPr>
                <w:rFonts w:hint="eastAsia" w:ascii="宋体" w:hAnsi="宋体" w:cs="宋体"/>
                <w:bCs/>
                <w:kern w:val="0"/>
              </w:rPr>
              <w:t>应同时满足</w:t>
            </w:r>
          </w:p>
        </w:tc>
        <w:tc>
          <w:tcPr>
            <w:tcW w:w="1531" w:type="dxa"/>
            <w:vAlign w:val="center"/>
          </w:tcPr>
          <w:p>
            <w:pPr>
              <w:tabs>
                <w:tab w:val="left" w:pos="360"/>
                <w:tab w:val="center" w:pos="4201"/>
                <w:tab w:val="right" w:leader="dot" w:pos="9298"/>
              </w:tabs>
              <w:overflowPunct w:val="0"/>
              <w:autoSpaceDE w:val="0"/>
              <w:autoSpaceDN w:val="0"/>
              <w:spacing w:before="156" w:beforeLines="50" w:after="156" w:afterLines="50"/>
              <w:jc w:val="center"/>
              <w:textAlignment w:val="baseline"/>
              <w:outlineLvl w:val="4"/>
              <w:rPr>
                <w:rFonts w:ascii="宋体" w:hAnsi="宋体" w:cs="宋体"/>
                <w:bCs/>
                <w:kern w:val="0"/>
              </w:rPr>
            </w:pPr>
            <w:r>
              <w:rPr>
                <w:rFonts w:hint="eastAsia" w:ascii="宋体" w:hAnsi="宋体"/>
                <w:bCs/>
                <w:kern w:val="0"/>
              </w:rPr>
              <w:t>基本要求</w:t>
            </w:r>
          </w:p>
        </w:tc>
        <w:tc>
          <w:tcPr>
            <w:tcW w:w="1531" w:type="dxa"/>
            <w:vAlign w:val="center"/>
          </w:tcPr>
          <w:p>
            <w:pPr>
              <w:tabs>
                <w:tab w:val="center" w:pos="4201"/>
                <w:tab w:val="right" w:leader="dot" w:pos="9298"/>
              </w:tabs>
              <w:autoSpaceDE w:val="0"/>
              <w:autoSpaceDN w:val="0"/>
              <w:spacing w:before="156" w:after="156"/>
              <w:jc w:val="center"/>
              <w:rPr>
                <w:rFonts w:ascii="宋体" w:hAnsi="宋体" w:cs="宋体"/>
                <w:bCs/>
                <w:kern w:val="0"/>
              </w:rPr>
            </w:pPr>
            <w:r>
              <w:rPr>
                <w:rFonts w:hint="eastAsia" w:ascii="宋体" w:hAnsi="宋体" w:cs="宋体"/>
                <w:bCs/>
                <w:kern w:val="0"/>
              </w:rPr>
              <w:t>基础指标要求</w:t>
            </w:r>
          </w:p>
        </w:tc>
        <w:tc>
          <w:tcPr>
            <w:tcW w:w="1531" w:type="dxa"/>
            <w:vAlign w:val="center"/>
          </w:tcPr>
          <w:p>
            <w:pPr>
              <w:tabs>
                <w:tab w:val="center" w:pos="4201"/>
                <w:tab w:val="right" w:leader="dot" w:pos="9298"/>
              </w:tabs>
              <w:autoSpaceDE w:val="0"/>
              <w:autoSpaceDN w:val="0"/>
              <w:spacing w:line="320" w:lineRule="exact"/>
              <w:jc w:val="center"/>
              <w:rPr>
                <w:rFonts w:ascii="宋体" w:hAnsi="宋体" w:cs="宋体"/>
                <w:bCs/>
                <w:kern w:val="0"/>
              </w:rPr>
            </w:pPr>
            <w:r>
              <w:rPr>
                <w:rFonts w:hint="eastAsia" w:ascii="宋体" w:hAnsi="宋体" w:cs="宋体"/>
                <w:bCs/>
                <w:kern w:val="0"/>
              </w:rPr>
              <w:t>核心指标</w:t>
            </w:r>
          </w:p>
          <w:p>
            <w:pPr>
              <w:tabs>
                <w:tab w:val="center" w:pos="4201"/>
                <w:tab w:val="right" w:leader="dot" w:pos="9298"/>
              </w:tabs>
              <w:autoSpaceDE w:val="0"/>
              <w:autoSpaceDN w:val="0"/>
              <w:spacing w:line="320" w:lineRule="exact"/>
              <w:jc w:val="center"/>
              <w:rPr>
                <w:rFonts w:ascii="宋体" w:hAnsi="宋体" w:cs="宋体"/>
                <w:bCs/>
                <w:kern w:val="0"/>
              </w:rPr>
            </w:pPr>
            <w:r>
              <w:rPr>
                <w:rFonts w:hint="eastAsia" w:ascii="宋体" w:hAnsi="宋体" w:cs="宋体"/>
                <w:bCs/>
                <w:kern w:val="0"/>
              </w:rPr>
              <w:t>先进水平要求</w:t>
            </w:r>
          </w:p>
        </w:tc>
        <w:tc>
          <w:tcPr>
            <w:tcW w:w="2366" w:type="dxa"/>
            <w:vAlign w:val="center"/>
          </w:tcPr>
          <w:p>
            <w:pPr>
              <w:tabs>
                <w:tab w:val="center" w:pos="4201"/>
                <w:tab w:val="right" w:leader="dot" w:pos="9298"/>
              </w:tabs>
              <w:autoSpaceDE w:val="0"/>
              <w:autoSpaceDN w:val="0"/>
              <w:spacing w:line="320" w:lineRule="exact"/>
              <w:jc w:val="center"/>
              <w:rPr>
                <w:rFonts w:ascii="宋体" w:hAnsi="宋体" w:cs="宋体"/>
                <w:bCs/>
                <w:kern w:val="0"/>
              </w:rPr>
            </w:pPr>
            <w:r>
              <w:rPr>
                <w:rFonts w:hint="eastAsia" w:ascii="宋体" w:hAnsi="宋体" w:cs="宋体"/>
                <w:bCs/>
                <w:kern w:val="0"/>
              </w:rPr>
              <w:t>创新性指标</w:t>
            </w:r>
          </w:p>
          <w:p>
            <w:pPr>
              <w:tabs>
                <w:tab w:val="center" w:pos="4201"/>
                <w:tab w:val="right" w:leader="dot" w:pos="9298"/>
              </w:tabs>
              <w:autoSpaceDE w:val="0"/>
              <w:autoSpaceDN w:val="0"/>
              <w:spacing w:line="320" w:lineRule="exact"/>
              <w:jc w:val="center"/>
              <w:rPr>
                <w:rFonts w:ascii="宋体" w:hAnsi="宋体" w:cs="宋体"/>
                <w:bCs/>
                <w:kern w:val="0"/>
              </w:rPr>
            </w:pPr>
            <w:r>
              <w:rPr>
                <w:rFonts w:hint="eastAsia" w:ascii="宋体" w:hAnsi="宋体" w:cs="宋体"/>
                <w:bCs/>
                <w:kern w:val="0"/>
              </w:rPr>
              <w:t>先进水平要求</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20" w:hRule="atLeast"/>
        </w:trPr>
        <w:tc>
          <w:tcPr>
            <w:tcW w:w="1531" w:type="dxa"/>
            <w:vAlign w:val="center"/>
          </w:tcPr>
          <w:p>
            <w:pPr>
              <w:tabs>
                <w:tab w:val="center" w:pos="4201"/>
                <w:tab w:val="right" w:leader="dot" w:pos="9298"/>
              </w:tabs>
              <w:autoSpaceDE w:val="0"/>
              <w:autoSpaceDN w:val="0"/>
              <w:jc w:val="center"/>
              <w:rPr>
                <w:rFonts w:ascii="宋体" w:hAnsi="宋体" w:cs="宋体"/>
                <w:bCs/>
                <w:kern w:val="0"/>
              </w:rPr>
            </w:pPr>
            <w:r>
              <w:rPr>
                <w:rFonts w:hint="eastAsia" w:ascii="宋体" w:hAnsi="宋体" w:cs="宋体"/>
                <w:bCs/>
                <w:kern w:val="0"/>
              </w:rPr>
              <w:t>二级应同时满足</w:t>
            </w:r>
          </w:p>
        </w:tc>
        <w:tc>
          <w:tcPr>
            <w:tcW w:w="1531" w:type="dxa"/>
            <w:vAlign w:val="center"/>
          </w:tcPr>
          <w:p>
            <w:pPr>
              <w:tabs>
                <w:tab w:val="left" w:pos="360"/>
                <w:tab w:val="center" w:pos="4201"/>
                <w:tab w:val="right" w:leader="dot" w:pos="9298"/>
              </w:tabs>
              <w:overflowPunct w:val="0"/>
              <w:autoSpaceDE w:val="0"/>
              <w:autoSpaceDN w:val="0"/>
              <w:spacing w:before="156" w:beforeLines="50" w:after="156" w:afterLines="50"/>
              <w:jc w:val="center"/>
              <w:textAlignment w:val="baseline"/>
              <w:outlineLvl w:val="4"/>
              <w:rPr>
                <w:rFonts w:ascii="宋体" w:hAnsi="宋体" w:cs="宋体"/>
                <w:bCs/>
                <w:kern w:val="0"/>
              </w:rPr>
            </w:pPr>
            <w:r>
              <w:rPr>
                <w:rFonts w:hint="eastAsia" w:ascii="宋体" w:hAnsi="宋体"/>
                <w:bCs/>
                <w:kern w:val="0"/>
              </w:rPr>
              <w:t>基本要求</w:t>
            </w:r>
          </w:p>
        </w:tc>
        <w:tc>
          <w:tcPr>
            <w:tcW w:w="1531" w:type="dxa"/>
            <w:vAlign w:val="center"/>
          </w:tcPr>
          <w:p>
            <w:pPr>
              <w:tabs>
                <w:tab w:val="center" w:pos="4201"/>
                <w:tab w:val="right" w:leader="dot" w:pos="9298"/>
              </w:tabs>
              <w:autoSpaceDE w:val="0"/>
              <w:autoSpaceDN w:val="0"/>
              <w:spacing w:before="156" w:after="156"/>
              <w:jc w:val="center"/>
              <w:rPr>
                <w:rFonts w:ascii="宋体" w:hAnsi="宋体" w:cs="宋体"/>
                <w:bCs/>
                <w:kern w:val="0"/>
              </w:rPr>
            </w:pPr>
            <w:r>
              <w:rPr>
                <w:rFonts w:hint="eastAsia" w:ascii="宋体" w:hAnsi="宋体" w:cs="宋体"/>
                <w:bCs/>
                <w:kern w:val="0"/>
              </w:rPr>
              <w:t>基础指标要求</w:t>
            </w:r>
          </w:p>
        </w:tc>
        <w:tc>
          <w:tcPr>
            <w:tcW w:w="1531" w:type="dxa"/>
            <w:vAlign w:val="center"/>
          </w:tcPr>
          <w:p>
            <w:pPr>
              <w:tabs>
                <w:tab w:val="center" w:pos="4201"/>
                <w:tab w:val="right" w:leader="dot" w:pos="9298"/>
              </w:tabs>
              <w:autoSpaceDE w:val="0"/>
              <w:autoSpaceDN w:val="0"/>
              <w:spacing w:line="320" w:lineRule="exact"/>
              <w:jc w:val="center"/>
              <w:rPr>
                <w:rFonts w:ascii="宋体" w:hAnsi="宋体" w:cs="宋体"/>
                <w:bCs/>
                <w:kern w:val="0"/>
              </w:rPr>
            </w:pPr>
            <w:r>
              <w:rPr>
                <w:rFonts w:hint="eastAsia" w:ascii="宋体" w:hAnsi="宋体" w:cs="宋体"/>
                <w:bCs/>
                <w:kern w:val="0"/>
              </w:rPr>
              <w:t>核心指标</w:t>
            </w:r>
          </w:p>
          <w:p>
            <w:pPr>
              <w:tabs>
                <w:tab w:val="center" w:pos="4201"/>
                <w:tab w:val="right" w:leader="dot" w:pos="9298"/>
              </w:tabs>
              <w:autoSpaceDE w:val="0"/>
              <w:autoSpaceDN w:val="0"/>
              <w:spacing w:line="320" w:lineRule="exact"/>
              <w:jc w:val="center"/>
              <w:rPr>
                <w:rFonts w:ascii="宋体" w:hAnsi="宋体" w:cs="宋体"/>
                <w:bCs/>
                <w:kern w:val="0"/>
              </w:rPr>
            </w:pPr>
            <w:r>
              <w:rPr>
                <w:rFonts w:hint="eastAsia" w:ascii="宋体" w:hAnsi="宋体" w:cs="宋体"/>
                <w:bCs/>
                <w:kern w:val="0"/>
              </w:rPr>
              <w:t>平均水平要求</w:t>
            </w:r>
          </w:p>
        </w:tc>
        <w:tc>
          <w:tcPr>
            <w:tcW w:w="2366" w:type="dxa"/>
            <w:vAlign w:val="center"/>
          </w:tcPr>
          <w:p>
            <w:pPr>
              <w:tabs>
                <w:tab w:val="center" w:pos="4201"/>
                <w:tab w:val="right" w:leader="dot" w:pos="9298"/>
              </w:tabs>
              <w:autoSpaceDE w:val="0"/>
              <w:autoSpaceDN w:val="0"/>
              <w:spacing w:line="320" w:lineRule="exact"/>
              <w:jc w:val="center"/>
              <w:rPr>
                <w:rFonts w:ascii="宋体" w:hAnsi="宋体" w:cs="宋体"/>
                <w:bCs/>
                <w:kern w:val="0"/>
              </w:rPr>
            </w:pPr>
            <w:r>
              <w:rPr>
                <w:rFonts w:hint="eastAsia" w:ascii="宋体" w:hAnsi="宋体" w:cs="宋体"/>
                <w:bCs/>
                <w:kern w:val="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96" w:hRule="atLeast"/>
        </w:trPr>
        <w:tc>
          <w:tcPr>
            <w:tcW w:w="1531" w:type="dxa"/>
            <w:vAlign w:val="center"/>
          </w:tcPr>
          <w:p>
            <w:pPr>
              <w:tabs>
                <w:tab w:val="center" w:pos="4201"/>
                <w:tab w:val="right" w:leader="dot" w:pos="9298"/>
              </w:tabs>
              <w:autoSpaceDE w:val="0"/>
              <w:autoSpaceDN w:val="0"/>
              <w:jc w:val="center"/>
              <w:rPr>
                <w:rFonts w:ascii="宋体" w:hAnsi="宋体" w:cs="宋体"/>
                <w:bCs/>
                <w:kern w:val="0"/>
              </w:rPr>
            </w:pPr>
            <w:r>
              <w:rPr>
                <w:rFonts w:hint="eastAsia" w:ascii="宋体" w:hAnsi="宋体" w:cs="宋体"/>
                <w:bCs/>
                <w:kern w:val="0"/>
              </w:rPr>
              <w:t>三级应同时满足</w:t>
            </w:r>
          </w:p>
        </w:tc>
        <w:tc>
          <w:tcPr>
            <w:tcW w:w="1531" w:type="dxa"/>
            <w:vAlign w:val="center"/>
          </w:tcPr>
          <w:p>
            <w:pPr>
              <w:tabs>
                <w:tab w:val="left" w:pos="360"/>
                <w:tab w:val="center" w:pos="4201"/>
                <w:tab w:val="right" w:leader="dot" w:pos="9298"/>
              </w:tabs>
              <w:overflowPunct w:val="0"/>
              <w:autoSpaceDE w:val="0"/>
              <w:autoSpaceDN w:val="0"/>
              <w:spacing w:before="156" w:beforeLines="50" w:after="156" w:afterLines="50"/>
              <w:jc w:val="center"/>
              <w:textAlignment w:val="baseline"/>
              <w:outlineLvl w:val="4"/>
              <w:rPr>
                <w:rFonts w:ascii="宋体" w:hAnsi="宋体" w:cs="宋体"/>
                <w:bCs/>
                <w:kern w:val="0"/>
              </w:rPr>
            </w:pPr>
            <w:r>
              <w:rPr>
                <w:rFonts w:hint="eastAsia" w:ascii="宋体" w:hAnsi="宋体"/>
                <w:bCs/>
                <w:kern w:val="0"/>
              </w:rPr>
              <w:t>基本要求</w:t>
            </w:r>
          </w:p>
        </w:tc>
        <w:tc>
          <w:tcPr>
            <w:tcW w:w="1531" w:type="dxa"/>
            <w:vAlign w:val="center"/>
          </w:tcPr>
          <w:p>
            <w:pPr>
              <w:tabs>
                <w:tab w:val="center" w:pos="4201"/>
                <w:tab w:val="right" w:leader="dot" w:pos="9298"/>
              </w:tabs>
              <w:autoSpaceDE w:val="0"/>
              <w:autoSpaceDN w:val="0"/>
              <w:spacing w:before="156" w:after="156"/>
              <w:jc w:val="center"/>
              <w:rPr>
                <w:rFonts w:ascii="宋体" w:hAnsi="宋体" w:cs="宋体"/>
                <w:bCs/>
                <w:kern w:val="0"/>
              </w:rPr>
            </w:pPr>
            <w:r>
              <w:rPr>
                <w:rFonts w:hint="eastAsia" w:ascii="宋体" w:hAnsi="宋体" w:cs="宋体"/>
                <w:bCs/>
                <w:kern w:val="0"/>
              </w:rPr>
              <w:t>基础指标要求</w:t>
            </w:r>
          </w:p>
        </w:tc>
        <w:tc>
          <w:tcPr>
            <w:tcW w:w="1531" w:type="dxa"/>
            <w:vAlign w:val="center"/>
          </w:tcPr>
          <w:p>
            <w:pPr>
              <w:tabs>
                <w:tab w:val="center" w:pos="4201"/>
                <w:tab w:val="right" w:leader="dot" w:pos="9298"/>
              </w:tabs>
              <w:autoSpaceDE w:val="0"/>
              <w:autoSpaceDN w:val="0"/>
              <w:spacing w:line="320" w:lineRule="exact"/>
              <w:jc w:val="center"/>
              <w:rPr>
                <w:rFonts w:ascii="宋体" w:hAnsi="宋体" w:cs="宋体"/>
                <w:bCs/>
                <w:kern w:val="0"/>
              </w:rPr>
            </w:pPr>
            <w:r>
              <w:rPr>
                <w:rFonts w:hint="eastAsia" w:ascii="宋体" w:hAnsi="宋体" w:cs="宋体"/>
                <w:bCs/>
                <w:kern w:val="0"/>
              </w:rPr>
              <w:t>核心指标</w:t>
            </w:r>
          </w:p>
          <w:p>
            <w:pPr>
              <w:tabs>
                <w:tab w:val="center" w:pos="4201"/>
                <w:tab w:val="right" w:leader="dot" w:pos="9298"/>
              </w:tabs>
              <w:autoSpaceDE w:val="0"/>
              <w:autoSpaceDN w:val="0"/>
              <w:spacing w:line="320" w:lineRule="exact"/>
              <w:jc w:val="center"/>
              <w:rPr>
                <w:rFonts w:ascii="宋体" w:hAnsi="宋体" w:cs="宋体"/>
                <w:bCs/>
                <w:kern w:val="0"/>
              </w:rPr>
            </w:pPr>
            <w:r>
              <w:rPr>
                <w:rFonts w:hint="eastAsia" w:ascii="宋体" w:hAnsi="宋体" w:cs="宋体"/>
                <w:bCs/>
                <w:kern w:val="0"/>
              </w:rPr>
              <w:t>基准水平要求</w:t>
            </w:r>
          </w:p>
        </w:tc>
        <w:tc>
          <w:tcPr>
            <w:tcW w:w="2366" w:type="dxa"/>
            <w:vAlign w:val="center"/>
          </w:tcPr>
          <w:p>
            <w:pPr>
              <w:tabs>
                <w:tab w:val="center" w:pos="4201"/>
                <w:tab w:val="right" w:leader="dot" w:pos="9298"/>
              </w:tabs>
              <w:autoSpaceDE w:val="0"/>
              <w:autoSpaceDN w:val="0"/>
              <w:spacing w:line="320" w:lineRule="exact"/>
              <w:jc w:val="center"/>
              <w:rPr>
                <w:rFonts w:ascii="宋体" w:hAnsi="宋体" w:cs="宋体"/>
                <w:bCs/>
                <w:kern w:val="0"/>
              </w:rPr>
            </w:pPr>
            <w:r>
              <w:rPr>
                <w:rFonts w:hint="eastAsia" w:ascii="宋体" w:hAnsi="宋体" w:cs="宋体"/>
                <w:bCs/>
                <w:kern w:val="0"/>
              </w:rPr>
              <w:t>—</w:t>
            </w:r>
          </w:p>
        </w:tc>
      </w:tr>
      <w:bookmarkEnd w:id="2"/>
    </w:tbl>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六、预期作用和效益</w:t>
      </w:r>
    </w:p>
    <w:p>
      <w:pPr>
        <w:ind w:firstLine="560" w:firstLineChars="200"/>
        <w:rPr>
          <w:rFonts w:ascii="宋体" w:hAnsi="宋体" w:eastAsia="宋体" w:cs="华文楷体"/>
          <w:sz w:val="28"/>
          <w:szCs w:val="28"/>
        </w:rPr>
      </w:pPr>
      <w:r>
        <w:rPr>
          <w:rFonts w:hint="eastAsia" w:ascii="宋体" w:hAnsi="宋体" w:eastAsia="宋体" w:cs="华文楷体"/>
          <w:sz w:val="28"/>
          <w:szCs w:val="28"/>
        </w:rPr>
        <w:t>本标准主要针对低环境温度空气源热泵（冷水）机组企业标准“领跑者”的评价指标和评价方法进行规定，在制定过程中充分征求相关机构和生产企业等单位的意见和建议，并开展调研验证予以证明，力求制定后的标准具科学性、适应性和可操作性，因此，标准制定具有良好的社会效益和经济效益。</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七、采用国际标准和国外先进标准的程度，以及与国际、国外同类标准水平的对比情况</w:t>
      </w:r>
    </w:p>
    <w:p>
      <w:pPr>
        <w:ind w:firstLine="560" w:firstLineChars="200"/>
        <w:rPr>
          <w:rFonts w:ascii="宋体" w:hAnsi="宋体" w:eastAsia="宋体" w:cs="华文楷体"/>
          <w:sz w:val="28"/>
          <w:szCs w:val="28"/>
        </w:rPr>
      </w:pPr>
      <w:r>
        <w:rPr>
          <w:rFonts w:hint="eastAsia" w:ascii="宋体" w:hAnsi="宋体" w:eastAsia="宋体" w:cs="华文楷体"/>
          <w:sz w:val="28"/>
          <w:szCs w:val="28"/>
        </w:rPr>
        <w:t>本标准属于团体标准，与现行法律、法规、规章和政策以及有关基础和相关标准不矛盾。国内、国外均没有本标准所评价内容的评测标准。</w:t>
      </w:r>
    </w:p>
    <w:p>
      <w:pPr>
        <w:ind w:firstLine="562" w:firstLineChars="200"/>
        <w:rPr>
          <w:rFonts w:ascii="宋体" w:hAnsi="宋体" w:eastAsia="宋体" w:cs="华文楷体"/>
          <w:sz w:val="28"/>
          <w:szCs w:val="28"/>
        </w:rPr>
      </w:pPr>
      <w:r>
        <w:rPr>
          <w:rFonts w:hint="eastAsia" w:ascii="宋体" w:hAnsi="宋体" w:eastAsia="宋体" w:cs="华文楷体"/>
          <w:b/>
          <w:bCs/>
          <w:sz w:val="28"/>
          <w:szCs w:val="28"/>
        </w:rPr>
        <w:t>八、与有关的现行法律、法规和强制性国家标准的关系</w:t>
      </w:r>
    </w:p>
    <w:p>
      <w:pPr>
        <w:ind w:firstLine="560" w:firstLineChars="200"/>
        <w:rPr>
          <w:rFonts w:ascii="宋体" w:hAnsi="宋体" w:eastAsia="宋体" w:cs="华文楷体"/>
          <w:sz w:val="28"/>
          <w:szCs w:val="28"/>
        </w:rPr>
      </w:pPr>
      <w:r>
        <w:rPr>
          <w:rFonts w:hint="eastAsia" w:ascii="宋体" w:hAnsi="宋体" w:eastAsia="宋体" w:cs="华文楷体"/>
          <w:sz w:val="28"/>
          <w:szCs w:val="28"/>
        </w:rPr>
        <w:t>本标准与现有的法律、法规和强制性国家标准无冲突。</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九、重大分歧意见的处理经过和依据；</w:t>
      </w:r>
    </w:p>
    <w:p>
      <w:pPr>
        <w:ind w:firstLine="560" w:firstLineChars="200"/>
        <w:rPr>
          <w:rFonts w:ascii="宋体" w:hAnsi="宋体" w:eastAsia="宋体" w:cs="华文楷体"/>
          <w:sz w:val="28"/>
          <w:szCs w:val="28"/>
        </w:rPr>
      </w:pPr>
      <w:r>
        <w:rPr>
          <w:rFonts w:hint="eastAsia" w:ascii="宋体" w:hAnsi="宋体" w:eastAsia="宋体" w:cs="华文楷体"/>
          <w:sz w:val="28"/>
          <w:szCs w:val="28"/>
        </w:rPr>
        <w:t>目前无重大分歧意见。</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十、贯彻国家标准的要求和措施建议</w:t>
      </w:r>
    </w:p>
    <w:p>
      <w:pPr>
        <w:ind w:firstLine="560" w:firstLineChars="200"/>
        <w:rPr>
          <w:rFonts w:hint="eastAsia" w:ascii="宋体" w:hAnsi="宋体" w:eastAsia="宋体" w:cs="华文楷体"/>
          <w:sz w:val="28"/>
          <w:szCs w:val="28"/>
        </w:rPr>
      </w:pPr>
      <w:r>
        <w:rPr>
          <w:rFonts w:hint="eastAsia" w:ascii="宋体" w:hAnsi="宋体" w:eastAsia="宋体" w:cs="华文楷体"/>
          <w:sz w:val="28"/>
          <w:szCs w:val="28"/>
        </w:rPr>
        <w:t>建议标准实施后组织标准宣讲，促进标准顺利实施。</w:t>
      </w:r>
    </w:p>
    <w:sectPr>
      <w:footerReference r:id="rId3"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89157203"/>
      <w:docPartObj>
        <w:docPartGallery w:val="autotext"/>
      </w:docPartObj>
    </w:sdtPr>
    <w:sdtContent>
      <w:p>
        <w:pPr>
          <w:pStyle w:val="3"/>
          <w:jc w:val="center"/>
        </w:pPr>
        <w:r>
          <w:fldChar w:fldCharType="begin"/>
        </w:r>
        <w:r>
          <w:instrText xml:space="preserve">PAGE   \* MERGEFORMAT</w:instrText>
        </w:r>
        <w:r>
          <w:fldChar w:fldCharType="separate"/>
        </w:r>
        <w:r>
          <w:rPr>
            <w:lang w:val="zh-CN"/>
          </w:rPr>
          <w:t>9</w:t>
        </w:r>
        <w:r>
          <w:fldChar w:fldCharType="end"/>
        </w:r>
      </w:p>
    </w:sdtContent>
  </w:sdt>
  <w:p>
    <w:pPr>
      <w:pStyle w:val="3"/>
      <w:ind w:firstLine="8100" w:firstLineChars="450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55787"/>
    <w:rsid w:val="0002055B"/>
    <w:rsid w:val="0003707C"/>
    <w:rsid w:val="00041004"/>
    <w:rsid w:val="000472F7"/>
    <w:rsid w:val="00047AA6"/>
    <w:rsid w:val="000551BF"/>
    <w:rsid w:val="00060A87"/>
    <w:rsid w:val="00085C84"/>
    <w:rsid w:val="00092CDE"/>
    <w:rsid w:val="00093363"/>
    <w:rsid w:val="000A195E"/>
    <w:rsid w:val="000A7A87"/>
    <w:rsid w:val="000C5BB0"/>
    <w:rsid w:val="000D29BE"/>
    <w:rsid w:val="000E1350"/>
    <w:rsid w:val="000E36C8"/>
    <w:rsid w:val="000E7412"/>
    <w:rsid w:val="000F3DDB"/>
    <w:rsid w:val="00124F1E"/>
    <w:rsid w:val="00125D6E"/>
    <w:rsid w:val="001B5B72"/>
    <w:rsid w:val="001B6255"/>
    <w:rsid w:val="001D4E2D"/>
    <w:rsid w:val="002119A4"/>
    <w:rsid w:val="002452FE"/>
    <w:rsid w:val="00250B24"/>
    <w:rsid w:val="0025187D"/>
    <w:rsid w:val="00251AF3"/>
    <w:rsid w:val="002920BD"/>
    <w:rsid w:val="002921D8"/>
    <w:rsid w:val="002930F1"/>
    <w:rsid w:val="002D1DDE"/>
    <w:rsid w:val="002E51C5"/>
    <w:rsid w:val="00337766"/>
    <w:rsid w:val="00357B7C"/>
    <w:rsid w:val="00376FFA"/>
    <w:rsid w:val="003963B7"/>
    <w:rsid w:val="003A6982"/>
    <w:rsid w:val="003E7F88"/>
    <w:rsid w:val="00434669"/>
    <w:rsid w:val="004357E2"/>
    <w:rsid w:val="00441431"/>
    <w:rsid w:val="004446BF"/>
    <w:rsid w:val="00486C90"/>
    <w:rsid w:val="00496CF0"/>
    <w:rsid w:val="004A2645"/>
    <w:rsid w:val="004B41EB"/>
    <w:rsid w:val="004C02AC"/>
    <w:rsid w:val="004D35C4"/>
    <w:rsid w:val="004F005C"/>
    <w:rsid w:val="005066AA"/>
    <w:rsid w:val="00557CB9"/>
    <w:rsid w:val="00580126"/>
    <w:rsid w:val="005C4CE2"/>
    <w:rsid w:val="005D2F49"/>
    <w:rsid w:val="00600357"/>
    <w:rsid w:val="00600AED"/>
    <w:rsid w:val="00617E95"/>
    <w:rsid w:val="006203D3"/>
    <w:rsid w:val="006209DC"/>
    <w:rsid w:val="00636932"/>
    <w:rsid w:val="006456EC"/>
    <w:rsid w:val="00646E84"/>
    <w:rsid w:val="00652506"/>
    <w:rsid w:val="00665877"/>
    <w:rsid w:val="006A409F"/>
    <w:rsid w:val="006A7D27"/>
    <w:rsid w:val="006B2B50"/>
    <w:rsid w:val="006B54C5"/>
    <w:rsid w:val="006C20A4"/>
    <w:rsid w:val="006C37E7"/>
    <w:rsid w:val="006F6C45"/>
    <w:rsid w:val="0070142A"/>
    <w:rsid w:val="00721721"/>
    <w:rsid w:val="00727786"/>
    <w:rsid w:val="00735920"/>
    <w:rsid w:val="00751CB6"/>
    <w:rsid w:val="00755787"/>
    <w:rsid w:val="007A03AC"/>
    <w:rsid w:val="007A118F"/>
    <w:rsid w:val="007A7AC2"/>
    <w:rsid w:val="0081059B"/>
    <w:rsid w:val="0081251A"/>
    <w:rsid w:val="00820F97"/>
    <w:rsid w:val="0084364C"/>
    <w:rsid w:val="00847FE2"/>
    <w:rsid w:val="00871977"/>
    <w:rsid w:val="00882F76"/>
    <w:rsid w:val="00897B23"/>
    <w:rsid w:val="009059CF"/>
    <w:rsid w:val="0091544B"/>
    <w:rsid w:val="00920320"/>
    <w:rsid w:val="00922A36"/>
    <w:rsid w:val="00926337"/>
    <w:rsid w:val="00954386"/>
    <w:rsid w:val="009734B9"/>
    <w:rsid w:val="00996B12"/>
    <w:rsid w:val="009C2B9B"/>
    <w:rsid w:val="00A03D3E"/>
    <w:rsid w:val="00A0492D"/>
    <w:rsid w:val="00A3018E"/>
    <w:rsid w:val="00A4600A"/>
    <w:rsid w:val="00A604F0"/>
    <w:rsid w:val="00A64A69"/>
    <w:rsid w:val="00A655C6"/>
    <w:rsid w:val="00A86F64"/>
    <w:rsid w:val="00AF54AD"/>
    <w:rsid w:val="00B33446"/>
    <w:rsid w:val="00B610AF"/>
    <w:rsid w:val="00B8273C"/>
    <w:rsid w:val="00BF5A1E"/>
    <w:rsid w:val="00C17D3A"/>
    <w:rsid w:val="00C17E53"/>
    <w:rsid w:val="00C36570"/>
    <w:rsid w:val="00C3697E"/>
    <w:rsid w:val="00C469CB"/>
    <w:rsid w:val="00C4732A"/>
    <w:rsid w:val="00C64591"/>
    <w:rsid w:val="00C85796"/>
    <w:rsid w:val="00C87E48"/>
    <w:rsid w:val="00CD0BB7"/>
    <w:rsid w:val="00CE7168"/>
    <w:rsid w:val="00CF15F0"/>
    <w:rsid w:val="00CF3F2F"/>
    <w:rsid w:val="00D02313"/>
    <w:rsid w:val="00D053F1"/>
    <w:rsid w:val="00D07F70"/>
    <w:rsid w:val="00D35E8E"/>
    <w:rsid w:val="00D53AB1"/>
    <w:rsid w:val="00D83570"/>
    <w:rsid w:val="00D86C08"/>
    <w:rsid w:val="00DA0F8F"/>
    <w:rsid w:val="00DE2338"/>
    <w:rsid w:val="00E012F0"/>
    <w:rsid w:val="00E126C2"/>
    <w:rsid w:val="00E85D28"/>
    <w:rsid w:val="00EC0585"/>
    <w:rsid w:val="00ED0697"/>
    <w:rsid w:val="00EF6001"/>
    <w:rsid w:val="00F16D2C"/>
    <w:rsid w:val="00F214F1"/>
    <w:rsid w:val="00F22BEB"/>
    <w:rsid w:val="00F42A72"/>
    <w:rsid w:val="00FB2A74"/>
    <w:rsid w:val="00FB6079"/>
    <w:rsid w:val="00FC001C"/>
    <w:rsid w:val="00FE75CC"/>
    <w:rsid w:val="1A587197"/>
    <w:rsid w:val="4EAA635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7"/>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2"/>
    <w:basedOn w:val="1"/>
    <w:next w:val="1"/>
    <w:uiPriority w:val="39"/>
    <w:pPr>
      <w:ind w:left="420" w:leftChars="200"/>
    </w:pPr>
    <w:rPr>
      <w:rFonts w:ascii="Times New Roman" w:hAnsi="Times New Roman" w:eastAsia="宋体" w:cs="Times New Roman"/>
      <w:szCs w:val="24"/>
    </w:rPr>
  </w:style>
  <w:style w:type="table" w:styleId="7">
    <w:name w:val="Table Grid"/>
    <w:basedOn w:val="6"/>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qFormat/>
    <w:uiPriority w:val="99"/>
    <w:rPr>
      <w:color w:val="0000FF"/>
      <w:u w:val="single"/>
    </w:rPr>
  </w:style>
  <w:style w:type="character" w:customStyle="1" w:styleId="10">
    <w:name w:val="页眉 字符"/>
    <w:basedOn w:val="8"/>
    <w:link w:val="4"/>
    <w:qFormat/>
    <w:uiPriority w:val="99"/>
    <w:rPr>
      <w:sz w:val="18"/>
      <w:szCs w:val="18"/>
    </w:rPr>
  </w:style>
  <w:style w:type="character" w:customStyle="1" w:styleId="11">
    <w:name w:val="页脚 字符"/>
    <w:basedOn w:val="8"/>
    <w:link w:val="3"/>
    <w:uiPriority w:val="99"/>
    <w:rPr>
      <w:sz w:val="18"/>
      <w:szCs w:val="18"/>
    </w:rPr>
  </w:style>
  <w:style w:type="paragraph" w:styleId="12">
    <w:name w:val="List Paragraph"/>
    <w:basedOn w:val="1"/>
    <w:qFormat/>
    <w:uiPriority w:val="34"/>
    <w:pPr>
      <w:ind w:firstLine="420" w:firstLineChars="200"/>
    </w:pPr>
  </w:style>
  <w:style w:type="paragraph" w:customStyle="1" w:styleId="13">
    <w:name w:val="Table Paragraph"/>
    <w:basedOn w:val="1"/>
    <w:qFormat/>
    <w:uiPriority w:val="1"/>
    <w:pPr>
      <w:spacing w:line="300" w:lineRule="auto"/>
      <w:jc w:val="left"/>
    </w:pPr>
    <w:rPr>
      <w:kern w:val="0"/>
      <w:sz w:val="22"/>
      <w:lang w:eastAsia="en-US"/>
    </w:rPr>
  </w:style>
  <w:style w:type="paragraph" w:customStyle="1" w:styleId="14">
    <w:name w:val="段"/>
    <w:link w:val="1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character" w:customStyle="1" w:styleId="15">
    <w:name w:val="段 Char"/>
    <w:link w:val="14"/>
    <w:qFormat/>
    <w:uiPriority w:val="0"/>
    <w:rPr>
      <w:rFonts w:ascii="宋体" w:hAnsi="Times New Roman" w:eastAsia="宋体" w:cs="Times New Roman"/>
      <w:kern w:val="0"/>
      <w:szCs w:val="20"/>
    </w:rPr>
  </w:style>
  <w:style w:type="paragraph" w:customStyle="1" w:styleId="16">
    <w:name w:val="Default"/>
    <w:uiPriority w:val="0"/>
    <w:pPr>
      <w:widowControl w:val="0"/>
      <w:autoSpaceDE w:val="0"/>
      <w:autoSpaceDN w:val="0"/>
      <w:adjustRightInd w:val="0"/>
    </w:pPr>
    <w:rPr>
      <w:rFonts w:ascii="仿宋" w:eastAsia="仿宋" w:cs="仿宋" w:hAnsiTheme="minorHAnsi"/>
      <w:color w:val="000000"/>
      <w:kern w:val="0"/>
      <w:sz w:val="24"/>
      <w:szCs w:val="24"/>
      <w:lang w:val="en-US" w:eastAsia="zh-CN" w:bidi="ar-SA"/>
    </w:rPr>
  </w:style>
  <w:style w:type="character" w:customStyle="1" w:styleId="17">
    <w:name w:val="批注框文本 字符"/>
    <w:basedOn w:val="8"/>
    <w:link w:val="2"/>
    <w:semiHidden/>
    <w:uiPriority w:val="99"/>
    <w:rPr>
      <w:sz w:val="18"/>
      <w:szCs w:val="18"/>
    </w:rPr>
  </w:style>
  <w:style w:type="table" w:customStyle="1" w:styleId="18">
    <w:name w:val="网格型1"/>
    <w:basedOn w:val="6"/>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A2C06F-A545-4A51-A01A-805424C23BAE}">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698</Words>
  <Characters>3982</Characters>
  <Lines>33</Lines>
  <Paragraphs>9</Paragraphs>
  <TotalTime>0</TotalTime>
  <ScaleCrop>false</ScaleCrop>
  <LinksUpToDate>false</LinksUpToDate>
  <CharactersWithSpaces>4671</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2020-06-04T01:34:00Z</dcterms:created>
  <dc:creator>LF</dc:creator>
  <cp:lastModifiedBy>test</cp:lastModifiedBy>
  <dcterms:modified xsi:type="dcterms:W3CDTF">2021-08-24T08:49:20Z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5DE595EE4C9746A3BF5F9B9513D78802</vt:lpwstr>
  </property>
</Properties>
</file>